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11936866"/>
        <w:docPartObj>
          <w:docPartGallery w:val="Cover Pages"/>
          <w:docPartUnique/>
        </w:docPartObj>
      </w:sdtPr>
      <w:sdtEndPr/>
      <w:sdtContent>
        <w:p w14:paraId="6316D272" w14:textId="77777777" w:rsidR="00EF6164" w:rsidRDefault="00EF6164"/>
        <w:p w14:paraId="7D944BD5" w14:textId="77777777" w:rsidR="004D03A4" w:rsidRDefault="004D03A4"/>
        <w:p w14:paraId="3D2E2436" w14:textId="77777777" w:rsidR="004D03A4" w:rsidRDefault="004D03A4"/>
        <w:p w14:paraId="2E3012F2" w14:textId="77777777" w:rsidR="0002620B" w:rsidRDefault="0002620B" w:rsidP="004D03A4">
          <w:pPr>
            <w:spacing w:after="0"/>
          </w:pPr>
        </w:p>
        <w:p w14:paraId="055393E7" w14:textId="77777777" w:rsidR="0002620B" w:rsidRDefault="0002620B" w:rsidP="004D03A4">
          <w:pPr>
            <w:spacing w:after="0"/>
          </w:pPr>
        </w:p>
        <w:p w14:paraId="725DAB0E" w14:textId="77777777" w:rsidR="0002620B" w:rsidRDefault="0002620B" w:rsidP="004D03A4">
          <w:pPr>
            <w:spacing w:after="0"/>
          </w:pPr>
        </w:p>
        <w:p w14:paraId="4A495A0C" w14:textId="77777777" w:rsidR="00DC0AB2" w:rsidRDefault="00DC0AB2" w:rsidP="004D03A4">
          <w:pPr>
            <w:spacing w:after="0"/>
            <w:rPr>
              <w:b/>
              <w:color w:val="0F75BC" w:themeColor="accent2"/>
              <w:sz w:val="56"/>
              <w:szCs w:val="56"/>
            </w:rPr>
          </w:pPr>
        </w:p>
        <w:p w14:paraId="5427E452" w14:textId="62795E46" w:rsidR="00CA6F3D" w:rsidRPr="00FE50B7" w:rsidRDefault="009B01DF" w:rsidP="00D422DB">
          <w:pPr>
            <w:pStyle w:val="Heading1"/>
            <w:ind w:left="-630" w:firstLine="0"/>
            <w:rPr>
              <w:spacing w:val="-20"/>
              <w:sz w:val="72"/>
              <w:szCs w:val="72"/>
            </w:rPr>
            <w:sectPr w:rsidR="00CA6F3D" w:rsidRPr="00FE50B7" w:rsidSect="004D03A4">
              <w:headerReference w:type="default" r:id="rId8"/>
              <w:footerReference w:type="default" r:id="rId9"/>
              <w:headerReference w:type="first" r:id="rId10"/>
              <w:pgSz w:w="12240" w:h="15840"/>
              <w:pgMar w:top="1800" w:right="1440" w:bottom="1440" w:left="1440" w:header="720" w:footer="720" w:gutter="0"/>
              <w:pgNumType w:fmt="lowerRoman" w:start="0"/>
              <w:cols w:space="720"/>
              <w:titlePg/>
              <w:docGrid w:linePitch="360"/>
            </w:sectPr>
          </w:pPr>
          <w:bookmarkStart w:id="0" w:name="_Toc55197896"/>
          <w:r>
            <w:br/>
          </w:r>
          <w:bookmarkStart w:id="1" w:name="_Toc59588648"/>
          <w:bookmarkEnd w:id="0"/>
          <w:r w:rsidR="00CF6078" w:rsidRPr="00FE50B7">
            <w:rPr>
              <w:spacing w:val="-20"/>
              <w:sz w:val="72"/>
              <w:szCs w:val="72"/>
            </w:rPr>
            <w:t>Environment</w:t>
          </w:r>
          <w:r w:rsidR="00D422DB" w:rsidRPr="00FE50B7">
            <w:rPr>
              <w:spacing w:val="-20"/>
              <w:sz w:val="72"/>
              <w:szCs w:val="72"/>
            </w:rPr>
            <w:t>al</w:t>
          </w:r>
          <w:r w:rsidR="00535D80" w:rsidRPr="00FE50B7">
            <w:rPr>
              <w:spacing w:val="-20"/>
              <w:sz w:val="72"/>
              <w:szCs w:val="72"/>
            </w:rPr>
            <w:t xml:space="preserve"> </w:t>
          </w:r>
          <w:r w:rsidR="00185501" w:rsidRPr="00FE50B7">
            <w:rPr>
              <w:spacing w:val="-20"/>
              <w:sz w:val="72"/>
              <w:szCs w:val="72"/>
            </w:rPr>
            <w:t>/</w:t>
          </w:r>
          <w:r w:rsidR="00CF6078" w:rsidRPr="00FE50B7">
            <w:rPr>
              <w:spacing w:val="-20"/>
              <w:sz w:val="72"/>
              <w:szCs w:val="72"/>
            </w:rPr>
            <w:br/>
            <w:t>Socio-Cultural</w:t>
          </w:r>
          <w:r w:rsidR="00D422DB" w:rsidRPr="00FE50B7">
            <w:rPr>
              <w:spacing w:val="-20"/>
              <w:sz w:val="72"/>
              <w:szCs w:val="72"/>
            </w:rPr>
            <w:t xml:space="preserve"> Effects</w:t>
          </w:r>
          <w:r w:rsidR="00185501" w:rsidRPr="00FE50B7">
            <w:rPr>
              <w:spacing w:val="-20"/>
              <w:sz w:val="72"/>
              <w:szCs w:val="72"/>
            </w:rPr>
            <w:t xml:space="preserve"> &amp;</w:t>
          </w:r>
          <w:r w:rsidR="00185501" w:rsidRPr="00FE50B7">
            <w:rPr>
              <w:spacing w:val="-20"/>
              <w:sz w:val="72"/>
              <w:szCs w:val="72"/>
            </w:rPr>
            <w:br/>
            <w:t>Environmental Justice</w:t>
          </w:r>
          <w:bookmarkEnd w:id="1"/>
        </w:p>
        <w:p w14:paraId="3415512A" w14:textId="5805089A" w:rsidR="004D03A4" w:rsidRDefault="009E275B"/>
      </w:sdtContent>
    </w:sdt>
    <w:p w14:paraId="24A61765" w14:textId="24EF7C49" w:rsidR="00DC0AB2" w:rsidRDefault="00DC0AB2" w:rsidP="009B01DF">
      <w:r>
        <w:br w:type="page"/>
      </w:r>
    </w:p>
    <w:p w14:paraId="141E736F" w14:textId="1AA475DD" w:rsidR="00EF6164" w:rsidRDefault="00CF6078" w:rsidP="00CA6F3D">
      <w:pPr>
        <w:pStyle w:val="Heading2"/>
      </w:pPr>
      <w:bookmarkStart w:id="2" w:name="_Toc59588649"/>
      <w:r>
        <w:lastRenderedPageBreak/>
        <w:t>Environmental Mitigation</w:t>
      </w:r>
      <w:bookmarkEnd w:id="2"/>
    </w:p>
    <w:p w14:paraId="6FD1F2F0" w14:textId="160E590D" w:rsidR="00CF6078" w:rsidRPr="007A497A" w:rsidRDefault="00CF6078" w:rsidP="00CF6078">
      <w:r w:rsidRPr="00292DA3">
        <w:t xml:space="preserve">Transportation projects can significantly impact many aspects of the environment including wildlife and their habitats, </w:t>
      </w:r>
      <w:r w:rsidRPr="007A497A">
        <w:t>wetlands</w:t>
      </w:r>
      <w:r w:rsidR="0093474E" w:rsidRPr="007A497A">
        <w:t xml:space="preserve"> air quality</w:t>
      </w:r>
      <w:r w:rsidRPr="007A497A">
        <w:t xml:space="preserve">, and groundwater </w:t>
      </w:r>
      <w:r w:rsidRPr="00292DA3">
        <w:t>resources. In situations where impacts cannot be completely avoided, mitigation or conservation efforts are required. Environmental mitigation is the process of addressing damage to the environment caused by transportation projects or programs. The process of mitigation is best accomplished through enhancement, restoration, creation and/or preservation projects that serve to offset unavoidable environmental impacts. In the State of Florida, environmental mitigation for transportation projects is completed through a partnership between the MPO, FDOT, and regulatory agencies, such as Water Management Districts and the Florida Department of Environmental Protection</w:t>
      </w:r>
      <w:r w:rsidR="00227BC0">
        <w:t xml:space="preserve"> </w:t>
      </w:r>
      <w:r w:rsidR="00227BC0" w:rsidRPr="007A497A">
        <w:t xml:space="preserve">and the US Environmental Protection </w:t>
      </w:r>
      <w:proofErr w:type="gramStart"/>
      <w:r w:rsidR="00227BC0" w:rsidRPr="007A497A">
        <w:t>Agency</w:t>
      </w:r>
      <w:proofErr w:type="gramEnd"/>
      <w:r w:rsidR="00227BC0" w:rsidRPr="007A497A">
        <w:t xml:space="preserve"> </w:t>
      </w:r>
      <w:r w:rsidR="007A497A">
        <w:t>among others</w:t>
      </w:r>
      <w:r w:rsidRPr="007A497A">
        <w:t xml:space="preserve">. </w:t>
      </w:r>
    </w:p>
    <w:p w14:paraId="6461C703" w14:textId="6DD7DA80" w:rsidR="00CF6078" w:rsidRPr="005E2887" w:rsidRDefault="00CF6078" w:rsidP="00CF6078">
      <w:r w:rsidRPr="007A497A">
        <w:t>When addressing mitigation there</w:t>
      </w:r>
      <w:r w:rsidR="00227BC0" w:rsidRPr="007A497A">
        <w:t xml:space="preserve"> </w:t>
      </w:r>
      <w:r w:rsidR="00227BC0" w:rsidRPr="005E2887">
        <w:t xml:space="preserve">are general guidelines and protocols </w:t>
      </w:r>
      <w:r w:rsidR="005E2887" w:rsidRPr="005E2887">
        <w:t xml:space="preserve">associated with avoiding impacts, </w:t>
      </w:r>
      <w:r w:rsidR="00227BC0" w:rsidRPr="005E2887">
        <w:t>minimi</w:t>
      </w:r>
      <w:r w:rsidR="005E2887" w:rsidRPr="005E2887">
        <w:t>zing</w:t>
      </w:r>
      <w:r w:rsidR="00227BC0" w:rsidRPr="005E2887">
        <w:t xml:space="preserve"> </w:t>
      </w:r>
      <w:r w:rsidRPr="005E2887">
        <w:t xml:space="preserve">impacts, </w:t>
      </w:r>
      <w:r w:rsidR="005E2887" w:rsidRPr="005E2887">
        <w:t>or</w:t>
      </w:r>
      <w:r w:rsidRPr="005E2887">
        <w:t xml:space="preserve"> </w:t>
      </w:r>
      <w:r w:rsidR="005E2887" w:rsidRPr="005E2887">
        <w:t xml:space="preserve">mitigating for </w:t>
      </w:r>
      <w:r w:rsidRPr="005E2887">
        <w:t xml:space="preserve"> impacts when impacts are unavoidable. </w:t>
      </w:r>
      <w:r w:rsidR="00121DFC" w:rsidRPr="005E2887">
        <w:t xml:space="preserve">These guidelines </w:t>
      </w:r>
      <w:r w:rsidRPr="005E2887">
        <w:t xml:space="preserve">can be applied at the planning level, when MPOs are identifying areas of potential environmental concern </w:t>
      </w:r>
      <w:r w:rsidR="00121DFC" w:rsidRPr="005E2887">
        <w:t xml:space="preserve">during the </w:t>
      </w:r>
      <w:r w:rsidRPr="005E2887">
        <w:t>development of a transportation project.</w:t>
      </w:r>
      <w:r w:rsidR="005E2887" w:rsidRPr="005E2887">
        <w:t xml:space="preserve"> </w:t>
      </w:r>
      <w:r w:rsidR="00121DFC" w:rsidRPr="005E2887">
        <w:t>E</w:t>
      </w:r>
      <w:r w:rsidRPr="005E2887">
        <w:t>nvironmental mitigation</w:t>
      </w:r>
      <w:r w:rsidR="00121DFC" w:rsidRPr="005E2887">
        <w:t xml:space="preserve"> </w:t>
      </w:r>
      <w:r w:rsidR="005E2887" w:rsidRPr="005E2887">
        <w:t xml:space="preserve">activities </w:t>
      </w:r>
      <w:r w:rsidRPr="005E2887">
        <w:t>include the following</w:t>
      </w:r>
      <w:r w:rsidR="00F305AE" w:rsidRPr="005E2887">
        <w:t>:</w:t>
      </w:r>
    </w:p>
    <w:p w14:paraId="161CB89A" w14:textId="77777777" w:rsidR="00CF6078" w:rsidRDefault="00CF6078" w:rsidP="00CF6078">
      <w:pPr>
        <w:pStyle w:val="ListParagraph"/>
        <w:numPr>
          <w:ilvl w:val="0"/>
          <w:numId w:val="7"/>
        </w:numPr>
      </w:pPr>
      <w:r>
        <w:t>Avoidance of impacts altogether</w:t>
      </w:r>
    </w:p>
    <w:p w14:paraId="66E29EBF" w14:textId="77777777" w:rsidR="00CF6078" w:rsidRDefault="00CF6078" w:rsidP="00CF6078">
      <w:pPr>
        <w:pStyle w:val="ListParagraph"/>
        <w:numPr>
          <w:ilvl w:val="0"/>
          <w:numId w:val="7"/>
        </w:numPr>
      </w:pPr>
      <w:r>
        <w:t>Minimizing a proposed activity/project size or its involvement</w:t>
      </w:r>
    </w:p>
    <w:p w14:paraId="1EF0E513" w14:textId="77777777" w:rsidR="00CF6078" w:rsidRDefault="00CF6078" w:rsidP="00CF6078">
      <w:pPr>
        <w:pStyle w:val="ListParagraph"/>
        <w:numPr>
          <w:ilvl w:val="0"/>
          <w:numId w:val="7"/>
        </w:numPr>
      </w:pPr>
      <w:r>
        <w:t>Repairing, rehabilitating, or restoring the affected environment</w:t>
      </w:r>
    </w:p>
    <w:p w14:paraId="1A90BBA8" w14:textId="77777777" w:rsidR="00CF6078" w:rsidRDefault="00CF6078" w:rsidP="00CF6078">
      <w:pPr>
        <w:pStyle w:val="ListParagraph"/>
        <w:numPr>
          <w:ilvl w:val="0"/>
          <w:numId w:val="7"/>
        </w:numPr>
      </w:pPr>
      <w:r>
        <w:t>Reducing or eliminating impacts over time through preservation and maintenance</w:t>
      </w:r>
    </w:p>
    <w:p w14:paraId="0FDB5CF9" w14:textId="39A70C23" w:rsidR="00121DFC" w:rsidRDefault="00CF6078" w:rsidP="00CF6078">
      <w:pPr>
        <w:pStyle w:val="ListParagraph"/>
        <w:numPr>
          <w:ilvl w:val="0"/>
          <w:numId w:val="7"/>
        </w:numPr>
      </w:pPr>
      <w:r>
        <w:t>Compensating for environmental impacts by providing appropriate or alternate environmental resources of equivalent or greater value, on or off-site.</w:t>
      </w:r>
    </w:p>
    <w:p w14:paraId="5555578C" w14:textId="36E08447" w:rsidR="00CF6078" w:rsidRDefault="00CC6860" w:rsidP="00CF6078">
      <w:r w:rsidRPr="00CC6860">
        <w:rPr>
          <w:b/>
          <w:bCs/>
        </w:rPr>
        <w:fldChar w:fldCharType="begin"/>
      </w:r>
      <w:r w:rsidRPr="00CC6860">
        <w:rPr>
          <w:b/>
          <w:bCs/>
        </w:rPr>
        <w:instrText xml:space="preserve"> REF _Ref56712361 \h </w:instrText>
      </w:r>
      <w:r>
        <w:rPr>
          <w:b/>
          <w:bCs/>
        </w:rPr>
        <w:instrText xml:space="preserve"> \* MERGEFORMAT </w:instrText>
      </w:r>
      <w:r w:rsidRPr="00CC6860">
        <w:rPr>
          <w:b/>
          <w:bCs/>
        </w:rPr>
      </w:r>
      <w:r w:rsidRPr="00CC6860">
        <w:rPr>
          <w:b/>
          <w:bCs/>
        </w:rPr>
        <w:fldChar w:fldCharType="separate"/>
      </w:r>
      <w:r w:rsidR="00CD6179" w:rsidRPr="00CD6179">
        <w:rPr>
          <w:b/>
          <w:bCs/>
        </w:rPr>
        <w:t xml:space="preserve">Table </w:t>
      </w:r>
      <w:r w:rsidR="00CD6179" w:rsidRPr="00CD6179">
        <w:rPr>
          <w:b/>
          <w:bCs/>
          <w:noProof/>
        </w:rPr>
        <w:t>5</w:t>
      </w:r>
      <w:r w:rsidR="00CD6179" w:rsidRPr="00CD6179">
        <w:rPr>
          <w:b/>
          <w:bCs/>
          <w:noProof/>
        </w:rPr>
        <w:noBreakHyphen/>
        <w:t>1</w:t>
      </w:r>
      <w:r w:rsidRPr="00CC6860">
        <w:rPr>
          <w:b/>
          <w:bCs/>
        </w:rPr>
        <w:fldChar w:fldCharType="end"/>
      </w:r>
      <w:r w:rsidR="00CF6078">
        <w:t xml:space="preserve"> </w:t>
      </w:r>
      <w:r w:rsidR="00CF6078" w:rsidRPr="00292DA3">
        <w:t xml:space="preserve">outlines potential environmental mitigation opportunities </w:t>
      </w:r>
      <w:r w:rsidR="00CF6078" w:rsidRPr="005E2887">
        <w:t>which can be</w:t>
      </w:r>
      <w:r w:rsidR="00CF6078" w:rsidRPr="00292DA3">
        <w:t xml:space="preserve"> considered when addressing environmental impacts from future projects </w:t>
      </w:r>
      <w:r w:rsidR="00CF6078">
        <w:t>listed in the LRTP</w:t>
      </w:r>
      <w:r w:rsidR="00CF6078" w:rsidRPr="00292DA3">
        <w:t>.</w:t>
      </w:r>
      <w:r w:rsidR="00CF6078">
        <w:t xml:space="preserve"> Preparing for specific mitigation strategies can be challenging over the course of the long-range transportation plan. Unforeseen </w:t>
      </w:r>
      <w:r w:rsidR="00CF6078" w:rsidRPr="005E2887">
        <w:t>funding circumstances</w:t>
      </w:r>
      <w:r w:rsidR="005E2887">
        <w:t xml:space="preserve"> or </w:t>
      </w:r>
      <w:r w:rsidR="00CF6078">
        <w:t>natural disasters such as</w:t>
      </w:r>
      <w:r w:rsidR="005E2887">
        <w:t>,</w:t>
      </w:r>
      <w:r w:rsidR="00CF6078">
        <w:t xml:space="preserve"> </w:t>
      </w:r>
      <w:proofErr w:type="gramStart"/>
      <w:r w:rsidR="00F15CE4" w:rsidRPr="005E2887">
        <w:t>global</w:t>
      </w:r>
      <w:proofErr w:type="gramEnd"/>
      <w:r w:rsidR="00F15CE4" w:rsidRPr="005E2887">
        <w:t xml:space="preserve"> or statewide </w:t>
      </w:r>
      <w:r w:rsidR="00CF6078">
        <w:t>pandemic</w:t>
      </w:r>
      <w:r w:rsidR="00F15CE4">
        <w:t>s,</w:t>
      </w:r>
      <w:r w:rsidR="00CF6078">
        <w:t xml:space="preserve"> hurricanes,</w:t>
      </w:r>
      <w:r w:rsidR="00F15CE4">
        <w:t xml:space="preserve"> </w:t>
      </w:r>
      <w:r w:rsidR="00F15CE4" w:rsidRPr="005E2887">
        <w:t>tornadoes, flooding, fire hazards</w:t>
      </w:r>
      <w:r w:rsidR="005E2887">
        <w:t xml:space="preserve">, </w:t>
      </w:r>
      <w:r w:rsidR="00CF6078">
        <w:t xml:space="preserve">permitting disputes </w:t>
      </w:r>
      <w:r w:rsidR="00F15CE4" w:rsidRPr="005E2887">
        <w:t xml:space="preserve">between </w:t>
      </w:r>
      <w:r w:rsidR="00CF6078">
        <w:t xml:space="preserve">regulatory agencies are common challenges to environmental mitigation. Such challenges can be </w:t>
      </w:r>
      <w:r w:rsidR="001803B4">
        <w:t xml:space="preserve">met </w:t>
      </w:r>
      <w:r w:rsidR="00CF6078">
        <w:t xml:space="preserve">by </w:t>
      </w:r>
      <w:r w:rsidR="001803B4" w:rsidRPr="005E2887">
        <w:t>a well planned</w:t>
      </w:r>
      <w:r w:rsidR="001803B4">
        <w:rPr>
          <w:color w:val="FF0000"/>
        </w:rPr>
        <w:t xml:space="preserve"> </w:t>
      </w:r>
      <w:r w:rsidR="001803B4" w:rsidRPr="005E2887">
        <w:t>and executed</w:t>
      </w:r>
      <w:r w:rsidR="005E2887">
        <w:t xml:space="preserve"> </w:t>
      </w:r>
      <w:r w:rsidR="00CF6078">
        <w:t>public involvement</w:t>
      </w:r>
      <w:r w:rsidR="001803B4">
        <w:t xml:space="preserve"> </w:t>
      </w:r>
      <w:r w:rsidR="001803B4" w:rsidRPr="005E2887">
        <w:t>program</w:t>
      </w:r>
      <w:r w:rsidR="005E2887">
        <w:t xml:space="preserve">. </w:t>
      </w:r>
      <w:r w:rsidR="001803B4" w:rsidRPr="005E2887">
        <w:t>Additionally</w:t>
      </w:r>
      <w:r w:rsidR="005E2887">
        <w:t>,</w:t>
      </w:r>
      <w:r w:rsidR="001803B4" w:rsidRPr="005E2887">
        <w:t xml:space="preserve"> the preparation of </w:t>
      </w:r>
      <w:r w:rsidR="00CF6078" w:rsidRPr="005E2887">
        <w:t>Ef</w:t>
      </w:r>
      <w:r w:rsidR="00CF6078">
        <w:t>ficient Transportation Decision Making (ETDM) processes and</w:t>
      </w:r>
      <w:r w:rsidR="001803B4">
        <w:t xml:space="preserve"> </w:t>
      </w:r>
      <w:r w:rsidR="00DF2637">
        <w:t xml:space="preserve">utilization of </w:t>
      </w:r>
      <w:r w:rsidR="001803B4" w:rsidRPr="005E2887">
        <w:t>Environmental Screening Tools</w:t>
      </w:r>
      <w:r w:rsidR="00CF6078">
        <w:t xml:space="preserve">. These approaches provide assurance that mitigation opportunities are identified, </w:t>
      </w:r>
      <w:r w:rsidR="00CF6078" w:rsidRPr="00DF2637">
        <w:t>considered</w:t>
      </w:r>
      <w:r w:rsidR="00DF2637">
        <w:t>,</w:t>
      </w:r>
      <w:r w:rsidR="00CF6078">
        <w:t xml:space="preserve"> </w:t>
      </w:r>
      <w:r w:rsidR="003C1073" w:rsidRPr="00DF2637">
        <w:t>evaluated</w:t>
      </w:r>
      <w:r w:rsidR="00DF2637">
        <w:t>,</w:t>
      </w:r>
      <w:r w:rsidR="003C1073" w:rsidRPr="00DF2637">
        <w:t xml:space="preserve"> </w:t>
      </w:r>
      <w:r w:rsidR="00CF6078">
        <w:t>and</w:t>
      </w:r>
      <w:r w:rsidR="00DF2637">
        <w:t xml:space="preserve"> viable </w:t>
      </w:r>
      <w:r w:rsidR="00CF6078">
        <w:t xml:space="preserve">as the plan is developed and projects are advanced. Through these approaches, the State of Florida along with its MPO partners ensures that mitigation will occur to offset the adverse effects of proposed transportation projects. </w:t>
      </w:r>
    </w:p>
    <w:p w14:paraId="686CD37A" w14:textId="60319253" w:rsidR="00CF6078" w:rsidRDefault="000E1923" w:rsidP="00CF6078">
      <w:r>
        <w:t>Mitigation of transportation impacts to air quality is also an important consideration of the MPO’s decision making process. Because v</w:t>
      </w:r>
      <w:r>
        <w:rPr>
          <w:rFonts w:ascii="Calibri" w:hAnsi="Calibri" w:cs="Calibri"/>
        </w:rPr>
        <w:t xml:space="preserve">ehicle emissions pollute the air, improving air quality and reducing congestion can be accomplished through funding of multimodal transportation solutions. The evaluation known as </w:t>
      </w:r>
      <w:r w:rsidR="00DA303A">
        <w:rPr>
          <w:rFonts w:ascii="Calibri" w:hAnsi="Calibri" w:cs="Calibri"/>
        </w:rPr>
        <w:t>air-quality</w:t>
      </w:r>
      <w:r>
        <w:rPr>
          <w:rFonts w:ascii="Calibri" w:hAnsi="Calibri" w:cs="Calibri"/>
        </w:rPr>
        <w:t xml:space="preserve"> conformity is required by the Clean Air Act which was revised last in 1990. </w:t>
      </w:r>
      <w:r w:rsidR="00DA303A">
        <w:rPr>
          <w:rFonts w:ascii="Calibri" w:hAnsi="Calibri" w:cs="Calibri"/>
        </w:rPr>
        <w:t xml:space="preserve">This evaluation compares the transportation related emissions resulting from travel and the funding </w:t>
      </w:r>
      <w:r w:rsidR="00DA303A">
        <w:rPr>
          <w:rFonts w:ascii="Calibri" w:hAnsi="Calibri" w:cs="Calibri"/>
        </w:rPr>
        <w:lastRenderedPageBreak/>
        <w:t xml:space="preserve">decisions included in the MPO’s plans to determine if future air quality will meet the clean air standards. Data collected from air monitoring stations is used to determine if current air quality standards are being met. Since Charlotte County has been designated as an area that meets the current standards, an evaluation of future air quality is not required. However, the MPO still pursues a blend of multimodal transportation projects </w:t>
      </w:r>
      <w:proofErr w:type="gramStart"/>
      <w:r w:rsidR="00ED71C3">
        <w:rPr>
          <w:rFonts w:ascii="Calibri" w:hAnsi="Calibri" w:cs="Calibri"/>
        </w:rPr>
        <w:t>in an effort to</w:t>
      </w:r>
      <w:proofErr w:type="gramEnd"/>
      <w:r w:rsidR="00ED71C3">
        <w:rPr>
          <w:rFonts w:ascii="Calibri" w:hAnsi="Calibri" w:cs="Calibri"/>
        </w:rPr>
        <w:t xml:space="preserve"> maintain clean air for the region. Focusing on bicycle and pedestrian modes of travel and improvements to intersections where traffic is congested are ways the MPO is looking to mitigate for the air quality impacts of transportation. </w:t>
      </w:r>
    </w:p>
    <w:p w14:paraId="575D52E2" w14:textId="0F195908" w:rsidR="00CF6078" w:rsidRDefault="00CF6078" w:rsidP="00CF6078">
      <w:pPr>
        <w:pStyle w:val="Caption"/>
        <w:keepNext/>
        <w:spacing w:after="160"/>
      </w:pPr>
      <w:bookmarkStart w:id="3" w:name="_Ref56712361"/>
      <w:bookmarkStart w:id="4" w:name="_Toc59588691"/>
      <w:r>
        <w:t xml:space="preserve">Table </w:t>
      </w:r>
      <w:r w:rsidR="009E275B">
        <w:fldChar w:fldCharType="begin"/>
      </w:r>
      <w:r w:rsidR="009E275B">
        <w:instrText xml:space="preserve"> STYLEREF 1 \s </w:instrText>
      </w:r>
      <w:r w:rsidR="009E275B">
        <w:fldChar w:fldCharType="separate"/>
      </w:r>
      <w:r w:rsidR="00CD6179">
        <w:rPr>
          <w:noProof/>
        </w:rPr>
        <w:t>5</w:t>
      </w:r>
      <w:r w:rsidR="009E275B">
        <w:rPr>
          <w:noProof/>
        </w:rPr>
        <w:fldChar w:fldCharType="end"/>
      </w:r>
      <w:r>
        <w:noBreakHyphen/>
      </w:r>
      <w:r w:rsidR="009E275B">
        <w:fldChar w:fldCharType="begin"/>
      </w:r>
      <w:r w:rsidR="009E275B">
        <w:instrText xml:space="preserve"> SEQ Table \* ARABIC \s 1 </w:instrText>
      </w:r>
      <w:r w:rsidR="009E275B">
        <w:fldChar w:fldCharType="separate"/>
      </w:r>
      <w:r w:rsidR="00CD6179">
        <w:rPr>
          <w:noProof/>
        </w:rPr>
        <w:t>1</w:t>
      </w:r>
      <w:r w:rsidR="009E275B">
        <w:rPr>
          <w:noProof/>
        </w:rPr>
        <w:fldChar w:fldCharType="end"/>
      </w:r>
      <w:bookmarkEnd w:id="3"/>
      <w:r w:rsidRPr="00292DA3">
        <w:t>: Potential Environmental Mitigation Strategies</w:t>
      </w:r>
      <w:bookmarkEnd w:id="4"/>
    </w:p>
    <w:tbl>
      <w:tblPr>
        <w:tblStyle w:val="ListTable4-Accent3"/>
        <w:tblW w:w="8995" w:type="dxa"/>
        <w:jc w:val="center"/>
        <w:tblLook w:val="04A0" w:firstRow="1" w:lastRow="0" w:firstColumn="1" w:lastColumn="0" w:noHBand="0" w:noVBand="1"/>
      </w:tblPr>
      <w:tblGrid>
        <w:gridCol w:w="2065"/>
        <w:gridCol w:w="6930"/>
      </w:tblGrid>
      <w:tr w:rsidR="00CF6078" w14:paraId="10F4F222" w14:textId="77777777" w:rsidTr="006030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3241834A" w14:textId="77777777" w:rsidR="00CF6078" w:rsidRPr="00094E46" w:rsidRDefault="00CF6078" w:rsidP="006030F0">
            <w:pPr>
              <w:rPr>
                <w:color w:val="auto"/>
                <w:sz w:val="22"/>
                <w:szCs w:val="22"/>
              </w:rPr>
            </w:pPr>
            <w:r w:rsidRPr="00094E46">
              <w:rPr>
                <w:color w:val="auto"/>
                <w:sz w:val="22"/>
                <w:szCs w:val="22"/>
              </w:rPr>
              <w:t>Resource / Impacts</w:t>
            </w:r>
          </w:p>
        </w:tc>
        <w:tc>
          <w:tcPr>
            <w:tcW w:w="6930" w:type="dxa"/>
          </w:tcPr>
          <w:p w14:paraId="165689E6" w14:textId="1BD4637D" w:rsidR="00DF2637" w:rsidRPr="00DF2637" w:rsidRDefault="00CF6078" w:rsidP="00DF2637">
            <w:pPr>
              <w:cnfStyle w:val="100000000000" w:firstRow="1" w:lastRow="0" w:firstColumn="0" w:lastColumn="0" w:oddVBand="0" w:evenVBand="0" w:oddHBand="0" w:evenHBand="0" w:firstRowFirstColumn="0" w:firstRowLastColumn="0" w:lastRowFirstColumn="0" w:lastRowLastColumn="0"/>
              <w:rPr>
                <w:color w:val="auto"/>
                <w:sz w:val="22"/>
                <w:szCs w:val="22"/>
              </w:rPr>
            </w:pPr>
            <w:r w:rsidRPr="00094E46">
              <w:rPr>
                <w:color w:val="auto"/>
                <w:sz w:val="22"/>
                <w:szCs w:val="22"/>
              </w:rPr>
              <w:t xml:space="preserve">Potential Mitigation </w:t>
            </w:r>
            <w:r w:rsidR="00F15CE4" w:rsidRPr="00094E46">
              <w:rPr>
                <w:color w:val="auto"/>
                <w:sz w:val="22"/>
                <w:szCs w:val="22"/>
              </w:rPr>
              <w:t>Strategi</w:t>
            </w:r>
            <w:r w:rsidR="00DF2637">
              <w:rPr>
                <w:color w:val="auto"/>
                <w:sz w:val="22"/>
                <w:szCs w:val="22"/>
              </w:rPr>
              <w:t>es</w:t>
            </w:r>
          </w:p>
        </w:tc>
      </w:tr>
      <w:tr w:rsidR="00CF6078" w14:paraId="55D13FE8" w14:textId="77777777" w:rsidTr="0060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1FF9B0F6" w14:textId="77777777" w:rsidR="00CF6078" w:rsidRPr="00094E46" w:rsidRDefault="00CF6078" w:rsidP="006030F0">
            <w:pPr>
              <w:rPr>
                <w:b/>
                <w:bCs w:val="0"/>
                <w:sz w:val="22"/>
                <w:szCs w:val="22"/>
              </w:rPr>
            </w:pPr>
            <w:r w:rsidRPr="00094E46">
              <w:rPr>
                <w:b/>
                <w:bCs w:val="0"/>
                <w:sz w:val="22"/>
                <w:szCs w:val="22"/>
              </w:rPr>
              <w:t>Wetlands and Water Resources</w:t>
            </w:r>
          </w:p>
        </w:tc>
        <w:tc>
          <w:tcPr>
            <w:tcW w:w="6930" w:type="dxa"/>
          </w:tcPr>
          <w:p w14:paraId="49068018" w14:textId="77777777" w:rsidR="00CF6078" w:rsidRPr="00094E46" w:rsidRDefault="00CF6078" w:rsidP="00CF6078">
            <w:pPr>
              <w:pStyle w:val="ListParagraph"/>
              <w:numPr>
                <w:ilvl w:val="0"/>
                <w:numId w:val="8"/>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Restore degraded wetlands</w:t>
            </w:r>
          </w:p>
          <w:p w14:paraId="196CF170" w14:textId="77777777" w:rsidR="00CF6078" w:rsidRPr="00094E46" w:rsidRDefault="00CF6078" w:rsidP="00CF6078">
            <w:pPr>
              <w:pStyle w:val="ListParagraph"/>
              <w:numPr>
                <w:ilvl w:val="0"/>
                <w:numId w:val="8"/>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Create new wetland habitats</w:t>
            </w:r>
          </w:p>
          <w:p w14:paraId="03770B91" w14:textId="77777777" w:rsidR="00CF6078" w:rsidRPr="00094E46" w:rsidRDefault="00CF6078" w:rsidP="00CF6078">
            <w:pPr>
              <w:pStyle w:val="ListParagraph"/>
              <w:numPr>
                <w:ilvl w:val="0"/>
                <w:numId w:val="8"/>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Enhance or preserve existing wetlands</w:t>
            </w:r>
          </w:p>
          <w:p w14:paraId="09035DCB" w14:textId="77777777" w:rsidR="00CF6078" w:rsidRPr="00094E46" w:rsidRDefault="00CF6078" w:rsidP="00CF6078">
            <w:pPr>
              <w:pStyle w:val="ListParagraph"/>
              <w:numPr>
                <w:ilvl w:val="0"/>
                <w:numId w:val="8"/>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Improve storm water management</w:t>
            </w:r>
          </w:p>
          <w:p w14:paraId="6131FD5A" w14:textId="77777777" w:rsidR="00CF6078" w:rsidRPr="00094E46" w:rsidRDefault="00CF6078" w:rsidP="00CF6078">
            <w:pPr>
              <w:pStyle w:val="ListParagraph"/>
              <w:numPr>
                <w:ilvl w:val="0"/>
                <w:numId w:val="8"/>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Purchase credits from a mitigation bank</w:t>
            </w:r>
          </w:p>
        </w:tc>
      </w:tr>
      <w:tr w:rsidR="00CF6078" w14:paraId="5CDC913D" w14:textId="77777777" w:rsidTr="006030F0">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578D9BCB" w14:textId="77777777" w:rsidR="00CF6078" w:rsidRPr="00094E46" w:rsidRDefault="00CF6078" w:rsidP="006030F0">
            <w:pPr>
              <w:rPr>
                <w:b/>
                <w:bCs w:val="0"/>
                <w:sz w:val="22"/>
                <w:szCs w:val="22"/>
              </w:rPr>
            </w:pPr>
            <w:r w:rsidRPr="00094E46">
              <w:rPr>
                <w:b/>
                <w:bCs w:val="0"/>
                <w:sz w:val="22"/>
                <w:szCs w:val="22"/>
              </w:rPr>
              <w:t>Forested and other natural areas</w:t>
            </w:r>
          </w:p>
        </w:tc>
        <w:tc>
          <w:tcPr>
            <w:tcW w:w="6930" w:type="dxa"/>
          </w:tcPr>
          <w:p w14:paraId="6E9EA5E4"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Use selective cutting and clearing</w:t>
            </w:r>
          </w:p>
          <w:p w14:paraId="574F124A"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Replace or restore forested areas</w:t>
            </w:r>
          </w:p>
          <w:p w14:paraId="0F7D8178"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Preserve existing vegetation</w:t>
            </w:r>
          </w:p>
        </w:tc>
      </w:tr>
      <w:tr w:rsidR="00CF6078" w14:paraId="3157F3DB" w14:textId="77777777" w:rsidTr="0060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14BCB74A" w14:textId="77777777" w:rsidR="00CF6078" w:rsidRPr="00094E46" w:rsidRDefault="00CF6078" w:rsidP="006030F0">
            <w:pPr>
              <w:rPr>
                <w:b/>
                <w:bCs w:val="0"/>
                <w:sz w:val="22"/>
                <w:szCs w:val="22"/>
              </w:rPr>
            </w:pPr>
            <w:r w:rsidRPr="00094E46">
              <w:rPr>
                <w:b/>
                <w:bCs w:val="0"/>
                <w:sz w:val="22"/>
                <w:szCs w:val="22"/>
              </w:rPr>
              <w:t>Habitats</w:t>
            </w:r>
          </w:p>
        </w:tc>
        <w:tc>
          <w:tcPr>
            <w:tcW w:w="6930" w:type="dxa"/>
          </w:tcPr>
          <w:p w14:paraId="26D05B77" w14:textId="5F626FE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Construct underpasses, such as culvert</w:t>
            </w:r>
            <w:r w:rsidR="00DF2637">
              <w:rPr>
                <w:sz w:val="22"/>
                <w:szCs w:val="22"/>
              </w:rPr>
              <w:t>s for animal crossings</w:t>
            </w:r>
          </w:p>
          <w:p w14:paraId="2251A5F2" w14:textId="7777777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Design measures to minimize fragmenting animal habitats</w:t>
            </w:r>
          </w:p>
        </w:tc>
      </w:tr>
      <w:tr w:rsidR="00CF6078" w14:paraId="377D8645" w14:textId="77777777" w:rsidTr="006030F0">
        <w:trPr>
          <w:jc w:val="center"/>
        </w:trPr>
        <w:tc>
          <w:tcPr>
            <w:cnfStyle w:val="001000000000" w:firstRow="0" w:lastRow="0" w:firstColumn="1" w:lastColumn="0" w:oddVBand="0" w:evenVBand="0" w:oddHBand="0" w:evenHBand="0" w:firstRowFirstColumn="0" w:firstRowLastColumn="0" w:lastRowFirstColumn="0" w:lastRowLastColumn="0"/>
            <w:tcW w:w="2065" w:type="dxa"/>
          </w:tcPr>
          <w:p w14:paraId="1632E237" w14:textId="0621BF34" w:rsidR="00CF6078" w:rsidRPr="00094E46" w:rsidRDefault="003C1073" w:rsidP="006030F0">
            <w:pPr>
              <w:rPr>
                <w:b/>
                <w:bCs w:val="0"/>
                <w:sz w:val="22"/>
                <w:szCs w:val="22"/>
              </w:rPr>
            </w:pPr>
            <w:r w:rsidRPr="00DF2637">
              <w:rPr>
                <w:b/>
                <w:bCs w:val="0"/>
                <w:sz w:val="22"/>
                <w:szCs w:val="22"/>
              </w:rPr>
              <w:t>Rivers/</w:t>
            </w:r>
            <w:r w:rsidR="00CF6078" w:rsidRPr="00DF2637">
              <w:rPr>
                <w:b/>
                <w:bCs w:val="0"/>
                <w:sz w:val="22"/>
                <w:szCs w:val="22"/>
              </w:rPr>
              <w:t>Strea</w:t>
            </w:r>
            <w:r w:rsidR="00CF6078" w:rsidRPr="00094E46">
              <w:rPr>
                <w:b/>
                <w:bCs w:val="0"/>
                <w:sz w:val="22"/>
                <w:szCs w:val="22"/>
              </w:rPr>
              <w:t>ms</w:t>
            </w:r>
          </w:p>
        </w:tc>
        <w:tc>
          <w:tcPr>
            <w:tcW w:w="6930" w:type="dxa"/>
          </w:tcPr>
          <w:p w14:paraId="391D20A9"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Stream restoration</w:t>
            </w:r>
          </w:p>
          <w:p w14:paraId="2D7AD494"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Vegetative buffer zones</w:t>
            </w:r>
          </w:p>
          <w:p w14:paraId="5C39FBCB" w14:textId="77777777" w:rsidR="00CF6078" w:rsidRPr="00094E46" w:rsidRDefault="00CF6078" w:rsidP="00CF6078">
            <w:pPr>
              <w:pStyle w:val="ListParagraph"/>
              <w:numPr>
                <w:ilvl w:val="0"/>
                <w:numId w:val="9"/>
              </w:numPr>
              <w:ind w:left="436"/>
              <w:jc w:val="left"/>
              <w:cnfStyle w:val="000000000000" w:firstRow="0" w:lastRow="0" w:firstColumn="0" w:lastColumn="0" w:oddVBand="0" w:evenVBand="0" w:oddHBand="0" w:evenHBand="0" w:firstRowFirstColumn="0" w:firstRowLastColumn="0" w:lastRowFirstColumn="0" w:lastRowLastColumn="0"/>
              <w:rPr>
                <w:sz w:val="22"/>
                <w:szCs w:val="22"/>
              </w:rPr>
            </w:pPr>
            <w:r w:rsidRPr="00094E46">
              <w:rPr>
                <w:sz w:val="22"/>
                <w:szCs w:val="22"/>
              </w:rPr>
              <w:t>Strict erosion and sedimentation control measures</w:t>
            </w:r>
          </w:p>
        </w:tc>
      </w:tr>
      <w:tr w:rsidR="00CF6078" w14:paraId="16DC6F80" w14:textId="77777777" w:rsidTr="006030F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6594D1A4" w14:textId="77777777" w:rsidR="00CF6078" w:rsidRPr="00094E46" w:rsidRDefault="00CF6078" w:rsidP="006030F0">
            <w:pPr>
              <w:rPr>
                <w:b/>
                <w:bCs w:val="0"/>
                <w:sz w:val="22"/>
                <w:szCs w:val="22"/>
              </w:rPr>
            </w:pPr>
            <w:r w:rsidRPr="00094E46">
              <w:rPr>
                <w:b/>
                <w:bCs w:val="0"/>
                <w:sz w:val="22"/>
                <w:szCs w:val="22"/>
              </w:rPr>
              <w:t>Threatened or Endangered Species</w:t>
            </w:r>
          </w:p>
        </w:tc>
        <w:tc>
          <w:tcPr>
            <w:tcW w:w="6930" w:type="dxa"/>
          </w:tcPr>
          <w:p w14:paraId="193B72D9" w14:textId="7777777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Preservation</w:t>
            </w:r>
          </w:p>
          <w:p w14:paraId="18B1A263" w14:textId="7777777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Enhancement or restoration of degraded habitat</w:t>
            </w:r>
          </w:p>
          <w:p w14:paraId="71AF623D" w14:textId="7777777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Creation of new habitats</w:t>
            </w:r>
          </w:p>
          <w:p w14:paraId="7058B9CA" w14:textId="77777777" w:rsidR="00CF6078" w:rsidRPr="00094E46" w:rsidRDefault="00CF6078" w:rsidP="00CF6078">
            <w:pPr>
              <w:pStyle w:val="ListParagraph"/>
              <w:numPr>
                <w:ilvl w:val="0"/>
                <w:numId w:val="9"/>
              </w:numPr>
              <w:ind w:left="436"/>
              <w:jc w:val="left"/>
              <w:cnfStyle w:val="000000100000" w:firstRow="0" w:lastRow="0" w:firstColumn="0" w:lastColumn="0" w:oddVBand="0" w:evenVBand="0" w:oddHBand="1" w:evenHBand="0" w:firstRowFirstColumn="0" w:firstRowLastColumn="0" w:lastRowFirstColumn="0" w:lastRowLastColumn="0"/>
              <w:rPr>
                <w:sz w:val="22"/>
                <w:szCs w:val="22"/>
              </w:rPr>
            </w:pPr>
            <w:r w:rsidRPr="00094E46">
              <w:rPr>
                <w:sz w:val="22"/>
                <w:szCs w:val="22"/>
              </w:rPr>
              <w:t>Establish buff areas around existing habitat</w:t>
            </w:r>
          </w:p>
        </w:tc>
      </w:tr>
    </w:tbl>
    <w:p w14:paraId="200ADC6A" w14:textId="142F0A1E" w:rsidR="00CF6078" w:rsidRDefault="00CF6078" w:rsidP="00CF6078">
      <w:pPr>
        <w:spacing w:before="80" w:after="0"/>
      </w:pPr>
    </w:p>
    <w:p w14:paraId="6BA3EC93" w14:textId="4B34F166" w:rsidR="006904C5" w:rsidRDefault="006904C5" w:rsidP="006904C5">
      <w:pPr>
        <w:pStyle w:val="Heading2"/>
      </w:pPr>
      <w:bookmarkStart w:id="5" w:name="_Toc59588650"/>
      <w:r>
        <w:t>Resiliency</w:t>
      </w:r>
      <w:bookmarkEnd w:id="5"/>
    </w:p>
    <w:p w14:paraId="5615F13C" w14:textId="7C7D1CE7" w:rsidR="006904C5" w:rsidRPr="006904C5" w:rsidRDefault="006904C5" w:rsidP="006904C5">
      <w:r>
        <w:t xml:space="preserve">As a precursor to the 2035 LRTP, the MPO partnered with the Department of Urban and Regional Planning at Florida State University to conduct a Hazard Mitigation Study. The study identified roadways vulnerable to flooding and natural threats including Sea Level Rise and Storm Surge. As part of the project prioritization, the MPO has </w:t>
      </w:r>
      <w:r w:rsidR="00B22D52">
        <w:t xml:space="preserve">continued to use this study and incorporate updated information for identifying potential cost feasible projects. Updated information used include the National Oceanic and Atmospheric Administration’s </w:t>
      </w:r>
      <w:r>
        <w:t>updated 2020 flood plain maps and the medium sea level rise prediction from the University of Florida’s Sea Level Scenario Sketch Planning Tool</w:t>
      </w:r>
      <w:r w:rsidR="00B22D52">
        <w:t>.</w:t>
      </w:r>
      <w:r>
        <w:t xml:space="preserve"> While roadways susceptible to sea level rise received the highest scores, this is assuming these roadways will be designed and engineered with mitigation features for dealing with sea level rise and not for prioritizing additional roadways in vulnerable areas.</w:t>
      </w:r>
    </w:p>
    <w:p w14:paraId="565358AF" w14:textId="2549F322" w:rsidR="00121DFC" w:rsidRDefault="008D0699" w:rsidP="00DE6300">
      <w:pPr>
        <w:pStyle w:val="Heading2"/>
      </w:pPr>
      <w:bookmarkStart w:id="6" w:name="_Toc59588651"/>
      <w:r w:rsidRPr="00DF2637">
        <w:lastRenderedPageBreak/>
        <w:t>Socio-Cultural Effects and Environmental Justice</w:t>
      </w:r>
      <w:bookmarkEnd w:id="6"/>
      <w:r w:rsidR="00DF2637">
        <w:t xml:space="preserve"> </w:t>
      </w:r>
    </w:p>
    <w:p w14:paraId="3283A1EA" w14:textId="27B3AFED" w:rsidR="008D0699" w:rsidRPr="00886392" w:rsidRDefault="008D0699" w:rsidP="008D0699">
      <w:pPr>
        <w:rPr>
          <w:shd w:val="clear" w:color="auto" w:fill="FFFFFF"/>
        </w:rPr>
      </w:pPr>
      <w:r w:rsidRPr="007A497A">
        <w:rPr>
          <w:shd w:val="clear" w:color="auto" w:fill="FFFFFF"/>
        </w:rPr>
        <w:t>Environmental Justice</w:t>
      </w:r>
      <w:r w:rsidR="00F305AE" w:rsidRPr="007A497A">
        <w:rPr>
          <w:shd w:val="clear" w:color="auto" w:fill="FFFFFF"/>
        </w:rPr>
        <w:t xml:space="preserve"> (EJ)</w:t>
      </w:r>
      <w:r w:rsidRPr="007A497A">
        <w:rPr>
          <w:shd w:val="clear" w:color="auto" w:fill="FFFFFF"/>
        </w:rPr>
        <w:t xml:space="preserve"> is broadly defined by</w:t>
      </w:r>
      <w:r w:rsidR="003C1073" w:rsidRPr="007A497A">
        <w:rPr>
          <w:shd w:val="clear" w:color="auto" w:fill="FFFFFF"/>
        </w:rPr>
        <w:t xml:space="preserve"> </w:t>
      </w:r>
      <w:r w:rsidR="007A497A" w:rsidRPr="007A497A">
        <w:rPr>
          <w:shd w:val="clear" w:color="auto" w:fill="FFFFFF"/>
        </w:rPr>
        <w:t xml:space="preserve">the Federal Highway Administration </w:t>
      </w:r>
      <w:r w:rsidRPr="00886392">
        <w:rPr>
          <w:shd w:val="clear" w:color="auto" w:fill="FFFFFF"/>
        </w:rPr>
        <w:t xml:space="preserve">as “identifying and addressing disproportionately high and adverse effects of the Federal Highway Administration’s programs, policies and activities on minority and low-income populations to achieve an equitable distribution of benefits and burdens.” The FWHA considers EJ in all phases of project development including planning, environmental review, design, right-of-way, construction, and maintenance and operations. The FHWA also considers EJ in all other programs and activities, </w:t>
      </w:r>
      <w:r w:rsidR="003C1073" w:rsidRPr="00DF2637">
        <w:rPr>
          <w:shd w:val="clear" w:color="auto" w:fill="FFFFFF"/>
        </w:rPr>
        <w:t>including</w:t>
      </w:r>
      <w:r w:rsidR="003C1073">
        <w:rPr>
          <w:shd w:val="clear" w:color="auto" w:fill="FFFFFF"/>
        </w:rPr>
        <w:t xml:space="preserve"> </w:t>
      </w:r>
      <w:r w:rsidRPr="00886392">
        <w:rPr>
          <w:shd w:val="clear" w:color="auto" w:fill="FFFFFF"/>
        </w:rPr>
        <w:t>public involvement, freight planning, safety, Tribal consultation, and the Title VI civil rights program.</w:t>
      </w:r>
      <w:r w:rsidRPr="00886392">
        <w:rPr>
          <w:rStyle w:val="FootnoteReference"/>
          <w:shd w:val="clear" w:color="auto" w:fill="FFFFFF"/>
        </w:rPr>
        <w:footnoteReference w:id="1"/>
      </w:r>
      <w:r w:rsidRPr="00886392">
        <w:rPr>
          <w:shd w:val="clear" w:color="auto" w:fill="FFFFFF"/>
        </w:rPr>
        <w:t xml:space="preserve"> Outside of </w:t>
      </w:r>
      <w:r>
        <w:rPr>
          <w:shd w:val="clear" w:color="auto" w:fill="FFFFFF"/>
        </w:rPr>
        <w:t>EJ</w:t>
      </w:r>
      <w:r w:rsidRPr="00886392">
        <w:rPr>
          <w:shd w:val="clear" w:color="auto" w:fill="FFFFFF"/>
        </w:rPr>
        <w:t xml:space="preserve"> and Title VI, federal laws protect a variety of other groups including, but not limited </w:t>
      </w:r>
      <w:proofErr w:type="gramStart"/>
      <w:r w:rsidRPr="00886392">
        <w:rPr>
          <w:shd w:val="clear" w:color="auto" w:fill="FFFFFF"/>
        </w:rPr>
        <w:t>to:</w:t>
      </w:r>
      <w:proofErr w:type="gramEnd"/>
      <w:r w:rsidRPr="00886392">
        <w:rPr>
          <w:shd w:val="clear" w:color="auto" w:fill="FFFFFF"/>
        </w:rPr>
        <w:t xml:space="preserve"> the elderly, the disabled, and those who have </w:t>
      </w:r>
      <w:r w:rsidR="00DF2637">
        <w:rPr>
          <w:shd w:val="clear" w:color="auto" w:fill="FFFFFF"/>
        </w:rPr>
        <w:t>L</w:t>
      </w:r>
      <w:r w:rsidRPr="00886392">
        <w:rPr>
          <w:shd w:val="clear" w:color="auto" w:fill="FFFFFF"/>
        </w:rPr>
        <w:t>imited English proficiency (LEP).</w:t>
      </w:r>
    </w:p>
    <w:p w14:paraId="7EE74C92" w14:textId="77777777" w:rsidR="008D0699" w:rsidRDefault="008D0699" w:rsidP="008D0699">
      <w:pPr>
        <w:rPr>
          <w:shd w:val="clear" w:color="auto" w:fill="FFFFFF"/>
        </w:rPr>
      </w:pPr>
      <w:r w:rsidRPr="00F67EE1">
        <w:rPr>
          <w:shd w:val="clear" w:color="auto" w:fill="FFFFFF"/>
        </w:rPr>
        <w:t xml:space="preserve">Like many Florida Counties, Charlotte County is made up of mix of ethnicities, incomes, and individuals of diverse needs. Identifying concentrations of populations with diverse needs across the county will aid in assessing the demands and impact upon Charlotte County’s transportation and transit system and help target public investments to areas with specific needs in an efficient </w:t>
      </w:r>
      <w:r w:rsidRPr="00944200">
        <w:rPr>
          <w:shd w:val="clear" w:color="auto" w:fill="FFFFFF"/>
        </w:rPr>
        <w:t xml:space="preserve">manner. </w:t>
      </w:r>
    </w:p>
    <w:p w14:paraId="0A717095" w14:textId="47B51EAC" w:rsidR="008D0699" w:rsidRDefault="008D0699" w:rsidP="008D0699">
      <w:r>
        <w:t xml:space="preserve">A geographic analysis was conducted to identify census block groups with higher concentrations of each of the EJ factors to produce Equity Assessment Areas. </w:t>
      </w:r>
      <w:r w:rsidRPr="00F60EAB">
        <w:t xml:space="preserve">To identify </w:t>
      </w:r>
      <w:r>
        <w:t xml:space="preserve">these </w:t>
      </w:r>
      <w:r w:rsidRPr="00F60EAB">
        <w:t>areas</w:t>
      </w:r>
      <w:r>
        <w:t xml:space="preserve">, </w:t>
      </w:r>
      <w:r w:rsidRPr="00F60EAB">
        <w:t>a GIS-based Transportation Planning Equity Tool</w:t>
      </w:r>
      <w:r>
        <w:t xml:space="preserve"> was used </w:t>
      </w:r>
      <w:r w:rsidRPr="00F60EAB">
        <w:t xml:space="preserve">to objectively identify concentrations of </w:t>
      </w:r>
      <w:r>
        <w:t>EJ</w:t>
      </w:r>
      <w:r w:rsidRPr="00F60EAB">
        <w:t xml:space="preserve"> areas and other protected groups, as well as develop a composite of indicators</w:t>
      </w:r>
      <w:r w:rsidR="003C1073" w:rsidRPr="00DF2637">
        <w:t xml:space="preserve"> that identifies</w:t>
      </w:r>
      <w:r w:rsidR="00DF2637" w:rsidRPr="00DF2637">
        <w:t xml:space="preserve"> high concentrations of people traditionally underrepresented in the Transportat</w:t>
      </w:r>
      <w:r w:rsidR="00DF2637">
        <w:t>i</w:t>
      </w:r>
      <w:r w:rsidR="00DF2637" w:rsidRPr="00DF2637">
        <w:t xml:space="preserve">on Planning Process. </w:t>
      </w:r>
      <w:r w:rsidRPr="00F305AE">
        <w:rPr>
          <w:b/>
          <w:bCs/>
        </w:rPr>
        <w:t>Technical Memorandum</w:t>
      </w:r>
      <w:r w:rsidRPr="00F305AE" w:rsidDel="00A65319">
        <w:rPr>
          <w:b/>
          <w:bCs/>
        </w:rPr>
        <w:t xml:space="preserve"> </w:t>
      </w:r>
      <w:r w:rsidRPr="00F305AE">
        <w:rPr>
          <w:b/>
          <w:bCs/>
        </w:rPr>
        <w:t>5</w:t>
      </w:r>
      <w:r>
        <w:t xml:space="preserve"> provides a detailed description of the methodology and framework used to rank block groups for the composite score</w:t>
      </w:r>
      <w:r w:rsidR="00DF2637">
        <w:t>s.</w:t>
      </w:r>
    </w:p>
    <w:p w14:paraId="3CF8BB34" w14:textId="039F2EA9" w:rsidR="008D0699" w:rsidRPr="00944200" w:rsidRDefault="008D0699" w:rsidP="008D0699">
      <w:pPr>
        <w:rPr>
          <w:shd w:val="clear" w:color="auto" w:fill="FFFFFF"/>
        </w:rPr>
      </w:pPr>
      <w:r>
        <w:rPr>
          <w:shd w:val="clear" w:color="auto" w:fill="FFFFFF"/>
        </w:rPr>
        <w:t>T</w:t>
      </w:r>
      <w:r w:rsidRPr="00944200">
        <w:rPr>
          <w:shd w:val="clear" w:color="auto" w:fill="FFFFFF"/>
        </w:rPr>
        <w:t xml:space="preserve">he following </w:t>
      </w:r>
      <w:r>
        <w:rPr>
          <w:shd w:val="clear" w:color="auto" w:fill="FFFFFF"/>
        </w:rPr>
        <w:t>six</w:t>
      </w:r>
      <w:r w:rsidRPr="00944200">
        <w:rPr>
          <w:shd w:val="clear" w:color="auto" w:fill="FFFFFF"/>
        </w:rPr>
        <w:t xml:space="preserve"> factors, based on socio-economic measures</w:t>
      </w:r>
      <w:r w:rsidR="00237EEB">
        <w:rPr>
          <w:shd w:val="clear" w:color="auto" w:fill="FFFFFF"/>
        </w:rPr>
        <w:t xml:space="preserve"> </w:t>
      </w:r>
      <w:r w:rsidR="00237EEB" w:rsidRPr="00DF2637">
        <w:rPr>
          <w:shd w:val="clear" w:color="auto" w:fill="FFFFFF"/>
        </w:rPr>
        <w:t>obtained</w:t>
      </w:r>
      <w:r w:rsidRPr="00944200">
        <w:rPr>
          <w:shd w:val="clear" w:color="auto" w:fill="FFFFFF"/>
        </w:rPr>
        <w:t xml:space="preserve"> from the U.S. Census Bureau’s 2017 </w:t>
      </w:r>
      <w:r w:rsidR="00867917">
        <w:rPr>
          <w:shd w:val="clear" w:color="auto" w:fill="FFFFFF"/>
        </w:rPr>
        <w:t>American Community Survey (</w:t>
      </w:r>
      <w:r w:rsidRPr="00944200">
        <w:rPr>
          <w:shd w:val="clear" w:color="auto" w:fill="FFFFFF"/>
        </w:rPr>
        <w:t>ACS</w:t>
      </w:r>
      <w:r w:rsidR="00867917">
        <w:rPr>
          <w:shd w:val="clear" w:color="auto" w:fill="FFFFFF"/>
        </w:rPr>
        <w:t>)</w:t>
      </w:r>
      <w:r w:rsidRPr="00944200">
        <w:rPr>
          <w:shd w:val="clear" w:color="auto" w:fill="FFFFFF"/>
        </w:rPr>
        <w:t xml:space="preserve"> 5-year estimates, </w:t>
      </w:r>
      <w:r>
        <w:rPr>
          <w:shd w:val="clear" w:color="auto" w:fill="FFFFFF"/>
        </w:rPr>
        <w:t xml:space="preserve">were evaluated </w:t>
      </w:r>
      <w:r w:rsidRPr="00944200">
        <w:rPr>
          <w:shd w:val="clear" w:color="auto" w:fill="FFFFFF"/>
        </w:rPr>
        <w:t xml:space="preserve">to identify </w:t>
      </w:r>
      <w:r>
        <w:rPr>
          <w:shd w:val="clear" w:color="auto" w:fill="FFFFFF"/>
        </w:rPr>
        <w:t xml:space="preserve">Equity Assessment Areas </w:t>
      </w:r>
      <w:r w:rsidRPr="00944200">
        <w:rPr>
          <w:shd w:val="clear" w:color="auto" w:fill="FFFFFF"/>
        </w:rPr>
        <w:t>and other protected groups, in Charlotte County.</w:t>
      </w:r>
      <w:r w:rsidRPr="00DF2772">
        <w:t xml:space="preserve"> </w:t>
      </w:r>
    </w:p>
    <w:p w14:paraId="2D3280C6" w14:textId="77777777" w:rsidR="008D0699" w:rsidRPr="00096B5B" w:rsidRDefault="008D0699" w:rsidP="008D0699">
      <w:pPr>
        <w:pStyle w:val="ListParagraph"/>
        <w:numPr>
          <w:ilvl w:val="0"/>
          <w:numId w:val="10"/>
        </w:numPr>
      </w:pPr>
      <w:r w:rsidRPr="00886392">
        <w:rPr>
          <w:b/>
        </w:rPr>
        <w:t>Non-white/non-Hispanic</w:t>
      </w:r>
      <w:r w:rsidRPr="00096B5B">
        <w:t xml:space="preserve">: percentage of the population that identify themselves as a race other than white or of Hispanic </w:t>
      </w:r>
      <w:r>
        <w:t>ethnicity</w:t>
      </w:r>
      <w:r w:rsidRPr="00096B5B">
        <w:t>.</w:t>
      </w:r>
    </w:p>
    <w:p w14:paraId="0582FF54" w14:textId="77777777" w:rsidR="008D0699" w:rsidRPr="00096B5B" w:rsidRDefault="008D0699" w:rsidP="008D0699">
      <w:pPr>
        <w:pStyle w:val="ListParagraph"/>
        <w:numPr>
          <w:ilvl w:val="0"/>
          <w:numId w:val="10"/>
        </w:numPr>
      </w:pPr>
      <w:r w:rsidRPr="00886392">
        <w:rPr>
          <w:b/>
        </w:rPr>
        <w:t>Hispanic</w:t>
      </w:r>
      <w:r w:rsidRPr="00096B5B">
        <w:t xml:space="preserve">: percentage of the population that identify themselves as of Hispanic origin. </w:t>
      </w:r>
    </w:p>
    <w:p w14:paraId="0D89F35D" w14:textId="77777777" w:rsidR="008D0699" w:rsidRPr="00096B5B" w:rsidRDefault="008D0699" w:rsidP="008D0699">
      <w:pPr>
        <w:pStyle w:val="ListParagraph"/>
        <w:numPr>
          <w:ilvl w:val="0"/>
          <w:numId w:val="10"/>
        </w:numPr>
      </w:pPr>
      <w:r w:rsidRPr="00886392">
        <w:rPr>
          <w:b/>
        </w:rPr>
        <w:t>English proficiency</w:t>
      </w:r>
      <w:r w:rsidRPr="00096B5B">
        <w:t xml:space="preserve">: percentage of people five years of age or older who identified as speaking English less than ‘very well.’ </w:t>
      </w:r>
    </w:p>
    <w:p w14:paraId="0049F2F5" w14:textId="77777777" w:rsidR="008D0699" w:rsidRPr="00096B5B" w:rsidRDefault="008D0699" w:rsidP="008D0699">
      <w:pPr>
        <w:pStyle w:val="ListParagraph"/>
        <w:numPr>
          <w:ilvl w:val="0"/>
          <w:numId w:val="10"/>
        </w:numPr>
      </w:pPr>
      <w:r w:rsidRPr="00886392">
        <w:rPr>
          <w:b/>
        </w:rPr>
        <w:t>Age 65 or older</w:t>
      </w:r>
      <w:r w:rsidRPr="00096B5B">
        <w:t>: percentage of population age 65 or older.</w:t>
      </w:r>
    </w:p>
    <w:p w14:paraId="2FFA4F03" w14:textId="77777777" w:rsidR="008D0699" w:rsidRDefault="008D0699" w:rsidP="008D0699">
      <w:pPr>
        <w:pStyle w:val="ListParagraph"/>
        <w:numPr>
          <w:ilvl w:val="0"/>
          <w:numId w:val="10"/>
        </w:numPr>
      </w:pPr>
      <w:r w:rsidRPr="00886392">
        <w:rPr>
          <w:b/>
          <w:iCs/>
        </w:rPr>
        <w:t>Zero vehicle households</w:t>
      </w:r>
      <w:r w:rsidRPr="00886392">
        <w:rPr>
          <w:iCs/>
        </w:rPr>
        <w:t xml:space="preserve">: </w:t>
      </w:r>
      <w:r w:rsidRPr="00096B5B">
        <w:t>percentage of population without access to a vehicle.</w:t>
      </w:r>
    </w:p>
    <w:p w14:paraId="4C0D0619" w14:textId="0C2BF9F1" w:rsidR="003D2B3F" w:rsidRDefault="008D0699" w:rsidP="003D2B3F">
      <w:pPr>
        <w:pStyle w:val="ListParagraph"/>
        <w:numPr>
          <w:ilvl w:val="0"/>
          <w:numId w:val="10"/>
        </w:numPr>
      </w:pPr>
      <w:r w:rsidRPr="00944200">
        <w:rPr>
          <w:b/>
        </w:rPr>
        <w:t>Below Poverty</w:t>
      </w:r>
      <w:r w:rsidRPr="00944200">
        <w:t xml:space="preserve">: </w:t>
      </w:r>
      <w:r>
        <w:t>L</w:t>
      </w:r>
      <w:r w:rsidRPr="00944200">
        <w:t>ow-Income persons are defined as persons or households whose median household income is at or below the U.S. Department of Health and Human Services (HHS) poverty guidelines. The 2019 HHS guidelines are presented in</w:t>
      </w:r>
      <w:r w:rsidR="00CC6860">
        <w:t xml:space="preserve"> </w:t>
      </w:r>
      <w:r w:rsidR="00CC6860" w:rsidRPr="00CC6860">
        <w:rPr>
          <w:b/>
          <w:bCs/>
        </w:rPr>
        <w:fldChar w:fldCharType="begin"/>
      </w:r>
      <w:r w:rsidR="00CC6860" w:rsidRPr="00CC6860">
        <w:rPr>
          <w:b/>
          <w:bCs/>
        </w:rPr>
        <w:instrText xml:space="preserve"> REF _Ref56712461 \h </w:instrText>
      </w:r>
      <w:r w:rsidR="00CC6860">
        <w:rPr>
          <w:b/>
          <w:bCs/>
        </w:rPr>
        <w:instrText xml:space="preserve"> \* MERGEFORMAT </w:instrText>
      </w:r>
      <w:r w:rsidR="00CC6860" w:rsidRPr="00CC6860">
        <w:rPr>
          <w:b/>
          <w:bCs/>
        </w:rPr>
      </w:r>
      <w:r w:rsidR="00CC6860" w:rsidRPr="00CC6860">
        <w:rPr>
          <w:b/>
          <w:bCs/>
        </w:rPr>
        <w:fldChar w:fldCharType="separate"/>
      </w:r>
      <w:r w:rsidR="00CD6179" w:rsidRPr="00CD6179">
        <w:rPr>
          <w:b/>
          <w:bCs/>
        </w:rPr>
        <w:t xml:space="preserve">Table </w:t>
      </w:r>
      <w:r w:rsidR="00CD6179" w:rsidRPr="00CD6179">
        <w:rPr>
          <w:b/>
          <w:bCs/>
          <w:noProof/>
        </w:rPr>
        <w:t>5</w:t>
      </w:r>
      <w:r w:rsidR="00CD6179" w:rsidRPr="00CD6179">
        <w:rPr>
          <w:b/>
          <w:bCs/>
          <w:noProof/>
        </w:rPr>
        <w:noBreakHyphen/>
        <w:t>2</w:t>
      </w:r>
      <w:r w:rsidR="00CC6860" w:rsidRPr="00CC6860">
        <w:rPr>
          <w:b/>
          <w:bCs/>
        </w:rPr>
        <w:fldChar w:fldCharType="end"/>
      </w:r>
      <w:r w:rsidRPr="00944200">
        <w:t xml:space="preserve">. The 2017 ACS 5-year dataset uses the 2019 HHS poverty guidelines to determine how many households are considered low-income in the county. For reference, </w:t>
      </w:r>
      <w:r>
        <w:t xml:space="preserve">the </w:t>
      </w:r>
      <w:r w:rsidRPr="00944200">
        <w:t>county-wide average household size is 2.31</w:t>
      </w:r>
      <w:r w:rsidR="00237EEB">
        <w:t xml:space="preserve"> </w:t>
      </w:r>
      <w:r w:rsidR="00237EEB" w:rsidRPr="007A497A">
        <w:t>persons</w:t>
      </w:r>
      <w:r w:rsidRPr="007A497A">
        <w:t xml:space="preserve"> </w:t>
      </w:r>
      <w:r w:rsidR="00237EEB" w:rsidRPr="007A497A">
        <w:t xml:space="preserve">with an </w:t>
      </w:r>
      <w:r w:rsidRPr="007A497A">
        <w:t xml:space="preserve">average </w:t>
      </w:r>
      <w:r w:rsidRPr="00944200">
        <w:t>median income is $46,511</w:t>
      </w:r>
      <w:bookmarkStart w:id="7" w:name="_Ref21591978"/>
      <w:bookmarkStart w:id="8" w:name="_Toc25219227"/>
      <w:r w:rsidR="007A497A">
        <w:t>.</w:t>
      </w:r>
    </w:p>
    <w:p w14:paraId="0E2042BC" w14:textId="09B413E2" w:rsidR="003D2B3F" w:rsidRDefault="003D2B3F" w:rsidP="003D2B3F">
      <w:r w:rsidRPr="00CC6860">
        <w:rPr>
          <w:b/>
          <w:bCs/>
        </w:rPr>
        <w:lastRenderedPageBreak/>
        <w:fldChar w:fldCharType="begin"/>
      </w:r>
      <w:r w:rsidRPr="00CC6860">
        <w:rPr>
          <w:b/>
          <w:bCs/>
        </w:rPr>
        <w:instrText xml:space="preserve"> REF _Ref23493720 \h  \* MERGEFORMAT </w:instrText>
      </w:r>
      <w:r w:rsidRPr="00CC6860">
        <w:rPr>
          <w:b/>
          <w:bCs/>
        </w:rPr>
      </w:r>
      <w:r w:rsidRPr="00CC6860">
        <w:rPr>
          <w:b/>
          <w:bCs/>
        </w:rPr>
        <w:fldChar w:fldCharType="separate"/>
      </w:r>
      <w:r w:rsidRPr="00CD6179">
        <w:rPr>
          <w:b/>
          <w:bCs/>
        </w:rPr>
        <w:t xml:space="preserve">Figure </w:t>
      </w:r>
      <w:r w:rsidRPr="00CD6179">
        <w:rPr>
          <w:b/>
          <w:bCs/>
          <w:noProof/>
        </w:rPr>
        <w:t>5</w:t>
      </w:r>
      <w:r w:rsidRPr="00CD6179">
        <w:rPr>
          <w:b/>
          <w:bCs/>
          <w:noProof/>
        </w:rPr>
        <w:noBreakHyphen/>
        <w:t>1</w:t>
      </w:r>
      <w:r w:rsidRPr="00CC6860">
        <w:rPr>
          <w:b/>
          <w:bCs/>
        </w:rPr>
        <w:fldChar w:fldCharType="end"/>
      </w:r>
      <w:r w:rsidRPr="00770621">
        <w:t xml:space="preserve"> illustrates</w:t>
      </w:r>
      <w:r>
        <w:t xml:space="preserve"> the Environmental Justice areas resulting from this Equity Assessment within Charlotte County Punta Gorda region.</w:t>
      </w:r>
    </w:p>
    <w:p w14:paraId="4E708CD1" w14:textId="09C6B030" w:rsidR="008D0699" w:rsidRPr="00886392" w:rsidRDefault="008D0699" w:rsidP="008D0699">
      <w:pPr>
        <w:pStyle w:val="Caption"/>
      </w:pPr>
      <w:bookmarkStart w:id="9" w:name="_Ref56712461"/>
      <w:bookmarkStart w:id="10" w:name="_Toc59588692"/>
      <w:r w:rsidRPr="00886392">
        <w:t xml:space="preserve">Table </w:t>
      </w:r>
      <w:r w:rsidR="009E275B">
        <w:fldChar w:fldCharType="begin"/>
      </w:r>
      <w:r w:rsidR="009E275B">
        <w:instrText xml:space="preserve"> STYLEREF 1 \s </w:instrText>
      </w:r>
      <w:r w:rsidR="009E275B">
        <w:fldChar w:fldCharType="separate"/>
      </w:r>
      <w:r w:rsidR="00CD6179">
        <w:rPr>
          <w:noProof/>
        </w:rPr>
        <w:t>5</w:t>
      </w:r>
      <w:r w:rsidR="009E275B">
        <w:rPr>
          <w:noProof/>
        </w:rPr>
        <w:fldChar w:fldCharType="end"/>
      </w:r>
      <w:r>
        <w:noBreakHyphen/>
      </w:r>
      <w:r w:rsidR="009E275B">
        <w:fldChar w:fldCharType="begin"/>
      </w:r>
      <w:r w:rsidR="009E275B">
        <w:instrText xml:space="preserve"> SEQ Table \* ARABIC \s 1 </w:instrText>
      </w:r>
      <w:r w:rsidR="009E275B">
        <w:fldChar w:fldCharType="separate"/>
      </w:r>
      <w:r w:rsidR="00CD6179">
        <w:rPr>
          <w:noProof/>
        </w:rPr>
        <w:t>2</w:t>
      </w:r>
      <w:r w:rsidR="009E275B">
        <w:rPr>
          <w:noProof/>
        </w:rPr>
        <w:fldChar w:fldCharType="end"/>
      </w:r>
      <w:bookmarkEnd w:id="7"/>
      <w:bookmarkEnd w:id="9"/>
      <w:r w:rsidRPr="00886392">
        <w:t>: 201</w:t>
      </w:r>
      <w:r>
        <w:t>9</w:t>
      </w:r>
      <w:r w:rsidRPr="00886392">
        <w:t xml:space="preserve"> Federal household and poverty thresholds</w:t>
      </w:r>
      <w:bookmarkEnd w:id="8"/>
      <w:bookmarkEnd w:id="10"/>
    </w:p>
    <w:tbl>
      <w:tblPr>
        <w:tblStyle w:val="GridTable4-Accent3"/>
        <w:tblW w:w="0" w:type="auto"/>
        <w:jc w:val="center"/>
        <w:tblLook w:val="04A0" w:firstRow="1" w:lastRow="0" w:firstColumn="1" w:lastColumn="0" w:noHBand="0" w:noVBand="1"/>
      </w:tblPr>
      <w:tblGrid>
        <w:gridCol w:w="2112"/>
        <w:gridCol w:w="1663"/>
      </w:tblGrid>
      <w:tr w:rsidR="008D0699" w:rsidRPr="00096B5B" w14:paraId="18D391A4" w14:textId="77777777" w:rsidTr="007706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14:paraId="4ED7025F" w14:textId="77777777" w:rsidR="008D0699" w:rsidRPr="001557E0" w:rsidRDefault="008D0699" w:rsidP="00770618">
            <w:pPr>
              <w:jc w:val="center"/>
              <w:rPr>
                <w:b w:val="0"/>
                <w:color w:val="auto"/>
              </w:rPr>
            </w:pPr>
            <w:r w:rsidRPr="001557E0">
              <w:rPr>
                <w:color w:val="auto"/>
              </w:rPr>
              <w:t>Persons in Family/Household</w:t>
            </w:r>
          </w:p>
        </w:tc>
        <w:tc>
          <w:tcPr>
            <w:tcW w:w="1663" w:type="dxa"/>
          </w:tcPr>
          <w:p w14:paraId="2982C530" w14:textId="77777777" w:rsidR="008D0699" w:rsidRPr="001557E0" w:rsidRDefault="008D0699" w:rsidP="00770618">
            <w:pPr>
              <w:jc w:val="center"/>
              <w:cnfStyle w:val="100000000000" w:firstRow="1" w:lastRow="0" w:firstColumn="0" w:lastColumn="0" w:oddVBand="0" w:evenVBand="0" w:oddHBand="0" w:evenHBand="0" w:firstRowFirstColumn="0" w:firstRowLastColumn="0" w:lastRowFirstColumn="0" w:lastRowLastColumn="0"/>
              <w:rPr>
                <w:b w:val="0"/>
                <w:color w:val="auto"/>
              </w:rPr>
            </w:pPr>
            <w:r w:rsidRPr="001557E0">
              <w:rPr>
                <w:color w:val="auto"/>
              </w:rPr>
              <w:t>Poverty Guideline</w:t>
            </w:r>
          </w:p>
        </w:tc>
      </w:tr>
      <w:tr w:rsidR="008D0699" w:rsidRPr="00096B5B" w14:paraId="72974431" w14:textId="77777777" w:rsidTr="00770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14:paraId="0786F3D5" w14:textId="77777777" w:rsidR="008D0699" w:rsidRPr="00886392" w:rsidRDefault="008D0699" w:rsidP="00770618">
            <w:pPr>
              <w:jc w:val="center"/>
              <w:rPr>
                <w:b w:val="0"/>
              </w:rPr>
            </w:pPr>
            <w:r w:rsidRPr="00886392">
              <w:rPr>
                <w:b w:val="0"/>
              </w:rPr>
              <w:t>1</w:t>
            </w:r>
          </w:p>
        </w:tc>
        <w:tc>
          <w:tcPr>
            <w:tcW w:w="1663" w:type="dxa"/>
          </w:tcPr>
          <w:p w14:paraId="5F44EF25" w14:textId="77777777" w:rsidR="008D0699" w:rsidRPr="00886392" w:rsidRDefault="008D0699" w:rsidP="00770618">
            <w:pPr>
              <w:jc w:val="center"/>
              <w:cnfStyle w:val="000000100000" w:firstRow="0" w:lastRow="0" w:firstColumn="0" w:lastColumn="0" w:oddVBand="0" w:evenVBand="0" w:oddHBand="1" w:evenHBand="0" w:firstRowFirstColumn="0" w:firstRowLastColumn="0" w:lastRowFirstColumn="0" w:lastRowLastColumn="0"/>
            </w:pPr>
            <w:r>
              <w:t>$12,490</w:t>
            </w:r>
          </w:p>
        </w:tc>
      </w:tr>
      <w:tr w:rsidR="008D0699" w:rsidRPr="00096B5B" w14:paraId="06DA451F" w14:textId="77777777" w:rsidTr="00770618">
        <w:trPr>
          <w:jc w:val="center"/>
        </w:trPr>
        <w:tc>
          <w:tcPr>
            <w:cnfStyle w:val="001000000000" w:firstRow="0" w:lastRow="0" w:firstColumn="1" w:lastColumn="0" w:oddVBand="0" w:evenVBand="0" w:oddHBand="0" w:evenHBand="0" w:firstRowFirstColumn="0" w:firstRowLastColumn="0" w:lastRowFirstColumn="0" w:lastRowLastColumn="0"/>
            <w:tcW w:w="2112" w:type="dxa"/>
          </w:tcPr>
          <w:p w14:paraId="301FFF44" w14:textId="77777777" w:rsidR="008D0699" w:rsidRPr="00886392" w:rsidRDefault="008D0699" w:rsidP="00770618">
            <w:pPr>
              <w:jc w:val="center"/>
              <w:rPr>
                <w:b w:val="0"/>
              </w:rPr>
            </w:pPr>
            <w:r w:rsidRPr="00886392">
              <w:rPr>
                <w:b w:val="0"/>
              </w:rPr>
              <w:t>2</w:t>
            </w:r>
          </w:p>
        </w:tc>
        <w:tc>
          <w:tcPr>
            <w:tcW w:w="1663" w:type="dxa"/>
          </w:tcPr>
          <w:p w14:paraId="5690AA18" w14:textId="77777777" w:rsidR="008D0699" w:rsidRPr="00886392" w:rsidRDefault="008D0699" w:rsidP="00770618">
            <w:pPr>
              <w:jc w:val="center"/>
              <w:cnfStyle w:val="000000000000" w:firstRow="0" w:lastRow="0" w:firstColumn="0" w:lastColumn="0" w:oddVBand="0" w:evenVBand="0" w:oddHBand="0" w:evenHBand="0" w:firstRowFirstColumn="0" w:firstRowLastColumn="0" w:lastRowFirstColumn="0" w:lastRowLastColumn="0"/>
            </w:pPr>
            <w:r>
              <w:t>$16,910</w:t>
            </w:r>
          </w:p>
        </w:tc>
      </w:tr>
      <w:tr w:rsidR="008D0699" w:rsidRPr="00096B5B" w14:paraId="503E375B" w14:textId="77777777" w:rsidTr="00770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14:paraId="7E9A6709" w14:textId="77777777" w:rsidR="008D0699" w:rsidRPr="00886392" w:rsidRDefault="008D0699" w:rsidP="00770618">
            <w:pPr>
              <w:jc w:val="center"/>
              <w:rPr>
                <w:b w:val="0"/>
              </w:rPr>
            </w:pPr>
            <w:r w:rsidRPr="00886392">
              <w:rPr>
                <w:b w:val="0"/>
              </w:rPr>
              <w:t>3</w:t>
            </w:r>
          </w:p>
        </w:tc>
        <w:tc>
          <w:tcPr>
            <w:tcW w:w="1663" w:type="dxa"/>
          </w:tcPr>
          <w:p w14:paraId="046FCDFE" w14:textId="77777777" w:rsidR="008D0699" w:rsidRPr="00886392" w:rsidRDefault="008D0699" w:rsidP="00770618">
            <w:pPr>
              <w:jc w:val="center"/>
              <w:cnfStyle w:val="000000100000" w:firstRow="0" w:lastRow="0" w:firstColumn="0" w:lastColumn="0" w:oddVBand="0" w:evenVBand="0" w:oddHBand="1" w:evenHBand="0" w:firstRowFirstColumn="0" w:firstRowLastColumn="0" w:lastRowFirstColumn="0" w:lastRowLastColumn="0"/>
            </w:pPr>
            <w:r>
              <w:t>$21,330</w:t>
            </w:r>
          </w:p>
        </w:tc>
      </w:tr>
      <w:tr w:rsidR="008D0699" w:rsidRPr="00096B5B" w14:paraId="2BA3DCD4" w14:textId="77777777" w:rsidTr="00770618">
        <w:trPr>
          <w:jc w:val="center"/>
        </w:trPr>
        <w:tc>
          <w:tcPr>
            <w:cnfStyle w:val="001000000000" w:firstRow="0" w:lastRow="0" w:firstColumn="1" w:lastColumn="0" w:oddVBand="0" w:evenVBand="0" w:oddHBand="0" w:evenHBand="0" w:firstRowFirstColumn="0" w:firstRowLastColumn="0" w:lastRowFirstColumn="0" w:lastRowLastColumn="0"/>
            <w:tcW w:w="2112" w:type="dxa"/>
          </w:tcPr>
          <w:p w14:paraId="7DDE6CBB" w14:textId="77777777" w:rsidR="008D0699" w:rsidRPr="00BC79DA" w:rsidRDefault="008D0699" w:rsidP="00770618">
            <w:pPr>
              <w:jc w:val="center"/>
              <w:rPr>
                <w:b w:val="0"/>
                <w:bCs w:val="0"/>
              </w:rPr>
            </w:pPr>
            <w:r w:rsidRPr="00BC79DA">
              <w:rPr>
                <w:b w:val="0"/>
                <w:bCs w:val="0"/>
              </w:rPr>
              <w:t>4</w:t>
            </w:r>
          </w:p>
        </w:tc>
        <w:tc>
          <w:tcPr>
            <w:tcW w:w="1663" w:type="dxa"/>
          </w:tcPr>
          <w:p w14:paraId="58FE377F" w14:textId="77777777" w:rsidR="008D0699" w:rsidRPr="00886392" w:rsidRDefault="008D0699" w:rsidP="00770618">
            <w:pPr>
              <w:jc w:val="center"/>
              <w:cnfStyle w:val="000000000000" w:firstRow="0" w:lastRow="0" w:firstColumn="0" w:lastColumn="0" w:oddVBand="0" w:evenVBand="0" w:oddHBand="0" w:evenHBand="0" w:firstRowFirstColumn="0" w:firstRowLastColumn="0" w:lastRowFirstColumn="0" w:lastRowLastColumn="0"/>
            </w:pPr>
            <w:r>
              <w:t>$25,750</w:t>
            </w:r>
          </w:p>
        </w:tc>
      </w:tr>
      <w:tr w:rsidR="008D0699" w:rsidRPr="00096B5B" w14:paraId="08793C15" w14:textId="77777777" w:rsidTr="00770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14:paraId="485B74C0" w14:textId="77777777" w:rsidR="008D0699" w:rsidRPr="00886392" w:rsidRDefault="008D0699" w:rsidP="00770618">
            <w:pPr>
              <w:jc w:val="center"/>
              <w:rPr>
                <w:b w:val="0"/>
              </w:rPr>
            </w:pPr>
            <w:r w:rsidRPr="00886392">
              <w:rPr>
                <w:b w:val="0"/>
              </w:rPr>
              <w:t>5</w:t>
            </w:r>
          </w:p>
        </w:tc>
        <w:tc>
          <w:tcPr>
            <w:tcW w:w="1663" w:type="dxa"/>
          </w:tcPr>
          <w:p w14:paraId="779ACB61" w14:textId="77777777" w:rsidR="008D0699" w:rsidRPr="00886392" w:rsidRDefault="008D0699" w:rsidP="00770618">
            <w:pPr>
              <w:jc w:val="center"/>
              <w:cnfStyle w:val="000000100000" w:firstRow="0" w:lastRow="0" w:firstColumn="0" w:lastColumn="0" w:oddVBand="0" w:evenVBand="0" w:oddHBand="1" w:evenHBand="0" w:firstRowFirstColumn="0" w:firstRowLastColumn="0" w:lastRowFirstColumn="0" w:lastRowLastColumn="0"/>
            </w:pPr>
            <w:r>
              <w:t>$30,170</w:t>
            </w:r>
          </w:p>
        </w:tc>
      </w:tr>
      <w:tr w:rsidR="008D0699" w:rsidRPr="00096B5B" w14:paraId="7EA41021" w14:textId="77777777" w:rsidTr="00770618">
        <w:trPr>
          <w:jc w:val="center"/>
        </w:trPr>
        <w:tc>
          <w:tcPr>
            <w:cnfStyle w:val="001000000000" w:firstRow="0" w:lastRow="0" w:firstColumn="1" w:lastColumn="0" w:oddVBand="0" w:evenVBand="0" w:oddHBand="0" w:evenHBand="0" w:firstRowFirstColumn="0" w:firstRowLastColumn="0" w:lastRowFirstColumn="0" w:lastRowLastColumn="0"/>
            <w:tcW w:w="2112" w:type="dxa"/>
          </w:tcPr>
          <w:p w14:paraId="2E029E36" w14:textId="77777777" w:rsidR="008D0699" w:rsidRPr="00886392" w:rsidRDefault="008D0699" w:rsidP="00770618">
            <w:pPr>
              <w:jc w:val="center"/>
              <w:rPr>
                <w:b w:val="0"/>
              </w:rPr>
            </w:pPr>
            <w:r w:rsidRPr="00886392">
              <w:rPr>
                <w:b w:val="0"/>
              </w:rPr>
              <w:t>6</w:t>
            </w:r>
          </w:p>
        </w:tc>
        <w:tc>
          <w:tcPr>
            <w:tcW w:w="1663" w:type="dxa"/>
          </w:tcPr>
          <w:p w14:paraId="357C5A61" w14:textId="77777777" w:rsidR="008D0699" w:rsidRPr="00886392" w:rsidRDefault="008D0699" w:rsidP="00770618">
            <w:pPr>
              <w:jc w:val="center"/>
              <w:cnfStyle w:val="000000000000" w:firstRow="0" w:lastRow="0" w:firstColumn="0" w:lastColumn="0" w:oddVBand="0" w:evenVBand="0" w:oddHBand="0" w:evenHBand="0" w:firstRowFirstColumn="0" w:firstRowLastColumn="0" w:lastRowFirstColumn="0" w:lastRowLastColumn="0"/>
            </w:pPr>
            <w:r>
              <w:t>$34,590</w:t>
            </w:r>
          </w:p>
        </w:tc>
      </w:tr>
      <w:tr w:rsidR="008D0699" w:rsidRPr="00096B5B" w14:paraId="75A897AE" w14:textId="77777777" w:rsidTr="00770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12" w:type="dxa"/>
          </w:tcPr>
          <w:p w14:paraId="770BBA78" w14:textId="77777777" w:rsidR="008D0699" w:rsidRPr="00886392" w:rsidRDefault="008D0699" w:rsidP="00770618">
            <w:pPr>
              <w:jc w:val="center"/>
              <w:rPr>
                <w:b w:val="0"/>
              </w:rPr>
            </w:pPr>
            <w:r w:rsidRPr="00886392">
              <w:rPr>
                <w:b w:val="0"/>
              </w:rPr>
              <w:t>7</w:t>
            </w:r>
          </w:p>
        </w:tc>
        <w:tc>
          <w:tcPr>
            <w:tcW w:w="1663" w:type="dxa"/>
          </w:tcPr>
          <w:p w14:paraId="17FD90CC" w14:textId="77777777" w:rsidR="008D0699" w:rsidRPr="00886392" w:rsidRDefault="008D0699" w:rsidP="00770618">
            <w:pPr>
              <w:jc w:val="center"/>
              <w:cnfStyle w:val="000000100000" w:firstRow="0" w:lastRow="0" w:firstColumn="0" w:lastColumn="0" w:oddVBand="0" w:evenVBand="0" w:oddHBand="1" w:evenHBand="0" w:firstRowFirstColumn="0" w:firstRowLastColumn="0" w:lastRowFirstColumn="0" w:lastRowLastColumn="0"/>
            </w:pPr>
            <w:r>
              <w:t>$39,010</w:t>
            </w:r>
          </w:p>
        </w:tc>
      </w:tr>
      <w:tr w:rsidR="008D0699" w:rsidRPr="00096B5B" w14:paraId="0655DCF4" w14:textId="77777777" w:rsidTr="00770618">
        <w:trPr>
          <w:jc w:val="center"/>
        </w:trPr>
        <w:tc>
          <w:tcPr>
            <w:cnfStyle w:val="001000000000" w:firstRow="0" w:lastRow="0" w:firstColumn="1" w:lastColumn="0" w:oddVBand="0" w:evenVBand="0" w:oddHBand="0" w:evenHBand="0" w:firstRowFirstColumn="0" w:firstRowLastColumn="0" w:lastRowFirstColumn="0" w:lastRowLastColumn="0"/>
            <w:tcW w:w="2112" w:type="dxa"/>
          </w:tcPr>
          <w:p w14:paraId="5FCFE98B" w14:textId="77777777" w:rsidR="008D0699" w:rsidRPr="00886392" w:rsidRDefault="008D0699" w:rsidP="00770618">
            <w:pPr>
              <w:jc w:val="center"/>
              <w:rPr>
                <w:b w:val="0"/>
              </w:rPr>
            </w:pPr>
            <w:r w:rsidRPr="00886392">
              <w:rPr>
                <w:b w:val="0"/>
              </w:rPr>
              <w:t>8</w:t>
            </w:r>
          </w:p>
        </w:tc>
        <w:tc>
          <w:tcPr>
            <w:tcW w:w="1663" w:type="dxa"/>
          </w:tcPr>
          <w:p w14:paraId="463F52BC" w14:textId="77777777" w:rsidR="008D0699" w:rsidRPr="00886392" w:rsidRDefault="008D0699" w:rsidP="00770618">
            <w:pPr>
              <w:jc w:val="center"/>
              <w:cnfStyle w:val="000000000000" w:firstRow="0" w:lastRow="0" w:firstColumn="0" w:lastColumn="0" w:oddVBand="0" w:evenVBand="0" w:oddHBand="0" w:evenHBand="0" w:firstRowFirstColumn="0" w:firstRowLastColumn="0" w:lastRowFirstColumn="0" w:lastRowLastColumn="0"/>
            </w:pPr>
            <w:r>
              <w:t>$43,430</w:t>
            </w:r>
          </w:p>
        </w:tc>
      </w:tr>
    </w:tbl>
    <w:p w14:paraId="270A2A46" w14:textId="056455D8" w:rsidR="008D0699" w:rsidRDefault="008D0699" w:rsidP="008D0699">
      <w:pPr>
        <w:pStyle w:val="Caption"/>
      </w:pPr>
      <w:r w:rsidRPr="00886392">
        <w:t xml:space="preserve">Source: </w:t>
      </w:r>
      <w:hyperlink r:id="rId11" w:history="1">
        <w:r>
          <w:rPr>
            <w:rStyle w:val="Hyperlink"/>
          </w:rPr>
          <w:t>https://aspe.hhs.gov/poverty-guidelines</w:t>
        </w:r>
      </w:hyperlink>
      <w:r>
        <w:br/>
      </w:r>
      <w:r w:rsidRPr="00336348">
        <w:rPr>
          <w:color w:val="0F75BC" w:themeColor="accent2"/>
          <w:u w:val="single"/>
        </w:rPr>
        <w:t>Note: For families/households with more than 8 persons, add $4,420 for each additional person</w:t>
      </w:r>
      <w:r w:rsidRPr="00336348">
        <w:rPr>
          <w:u w:val="single"/>
        </w:rPr>
        <w:t>.</w:t>
      </w:r>
    </w:p>
    <w:p w14:paraId="2A2D8F21" w14:textId="5E1444F2" w:rsidR="008D0699" w:rsidRDefault="008D0699" w:rsidP="00F37E4D">
      <w:r>
        <w:t xml:space="preserve">The LRTP development process included efforts to assess countywide performance of transportation projects </w:t>
      </w:r>
      <w:r w:rsidR="007A497A">
        <w:t xml:space="preserve">regarding </w:t>
      </w:r>
      <w:r>
        <w:t xml:space="preserve">socio-cultural effects and environmental justice. The process also seeks to ensure equal access to transportation systems and the transportation planning process. The analysis focuses on areas with a high concentration of minority, low-income, and other traditionally under-served and under-represented populations. </w:t>
      </w:r>
      <w:r w:rsidR="00F37E4D" w:rsidRPr="00F37E4D">
        <w:rPr>
          <w:b/>
          <w:bCs/>
        </w:rPr>
        <w:t>Technical Report 6</w:t>
      </w:r>
      <w:r w:rsidR="00F37E4D">
        <w:t xml:space="preserve"> includes additional details on the prioritization process</w:t>
      </w:r>
      <w:r w:rsidR="00E12248">
        <w:t xml:space="preserve"> and </w:t>
      </w:r>
      <w:r w:rsidR="00560C4B" w:rsidRPr="00560C4B">
        <w:rPr>
          <w:b/>
          <w:bCs/>
        </w:rPr>
        <w:t>Technical Report 5</w:t>
      </w:r>
      <w:r w:rsidR="00560C4B">
        <w:rPr>
          <w:b/>
          <w:bCs/>
        </w:rPr>
        <w:t xml:space="preserve"> </w:t>
      </w:r>
      <w:r w:rsidR="00560C4B">
        <w:t>provides</w:t>
      </w:r>
      <w:r w:rsidR="00E12248">
        <w:t xml:space="preserve"> analysis of transportation investment in EJ areas</w:t>
      </w:r>
      <w:r w:rsidR="00F37E4D">
        <w:t>.</w:t>
      </w:r>
    </w:p>
    <w:p w14:paraId="30D8B1DE" w14:textId="77777777" w:rsidR="008D0699" w:rsidRDefault="008D0699" w:rsidP="008D0699">
      <w:pPr>
        <w:pStyle w:val="Heading4"/>
        <w:numPr>
          <w:ilvl w:val="0"/>
          <w:numId w:val="0"/>
        </w:numPr>
        <w:ind w:left="864" w:hanging="864"/>
      </w:pPr>
      <w:r>
        <w:t xml:space="preserve">Facility Inventory </w:t>
      </w:r>
    </w:p>
    <w:p w14:paraId="042C5311" w14:textId="77777777" w:rsidR="008D0699" w:rsidRDefault="008D0699" w:rsidP="008D0699">
      <w:r>
        <w:t xml:space="preserve">In addition to identifying </w:t>
      </w:r>
      <w:r w:rsidRPr="00ED25A8">
        <w:t>Equity</w:t>
      </w:r>
      <w:r>
        <w:t xml:space="preserve"> Assessment Areas a community facilities inventory</w:t>
      </w:r>
      <w:r w:rsidRPr="00ED25A8">
        <w:t xml:space="preserve"> </w:t>
      </w:r>
      <w:r>
        <w:t>to evaluate the level of access provided by LRTP projects. Community-based facilities in Charlotte County were inventoried to identify major trip generators or employers within the county and that are likely to attract a variety of population segments due to their community-oriented nature. Community facilities and services are important for maintaining quality of life; not only are the amount and distribution of these facilities and services important, but a person’s ability to access them is an equally important consideration for the LRTP.  Community facilities included parks and recreation facilities, libraries, schools, and hospitals. The assessment was performed using GIS software. The community facilities inventory was verified and updated as needed for the 2045 LRTP.</w:t>
      </w:r>
      <w:r w:rsidRPr="00ED25A8">
        <w:t xml:space="preserve"> </w:t>
      </w:r>
    </w:p>
    <w:p w14:paraId="337B563E" w14:textId="62675501" w:rsidR="008D0699" w:rsidRDefault="008D0699" w:rsidP="008D0699">
      <w:r w:rsidRPr="00F37E4D">
        <w:rPr>
          <w:b/>
          <w:bCs/>
        </w:rPr>
        <w:fldChar w:fldCharType="begin"/>
      </w:r>
      <w:r w:rsidRPr="00F37E4D">
        <w:rPr>
          <w:b/>
          <w:bCs/>
        </w:rPr>
        <w:instrText xml:space="preserve"> REF _Ref23493178 \h </w:instrText>
      </w:r>
      <w:r w:rsidR="00F37E4D">
        <w:rPr>
          <w:b/>
          <w:bCs/>
        </w:rPr>
        <w:instrText xml:space="preserve"> \* MERGEFORMAT </w:instrText>
      </w:r>
      <w:r w:rsidRPr="00F37E4D">
        <w:rPr>
          <w:b/>
          <w:bCs/>
        </w:rPr>
      </w:r>
      <w:r w:rsidRPr="00F37E4D">
        <w:rPr>
          <w:b/>
          <w:bCs/>
        </w:rPr>
        <w:fldChar w:fldCharType="separate"/>
      </w:r>
      <w:r w:rsidR="00CD6179" w:rsidRPr="00CD6179">
        <w:rPr>
          <w:b/>
          <w:bCs/>
        </w:rPr>
        <w:t xml:space="preserve">Table </w:t>
      </w:r>
      <w:r w:rsidR="00CD6179" w:rsidRPr="00CD6179">
        <w:rPr>
          <w:b/>
          <w:bCs/>
          <w:noProof/>
        </w:rPr>
        <w:t>5</w:t>
      </w:r>
      <w:r w:rsidR="00CD6179" w:rsidRPr="00CD6179">
        <w:rPr>
          <w:b/>
          <w:bCs/>
          <w:noProof/>
        </w:rPr>
        <w:noBreakHyphen/>
        <w:t>3</w:t>
      </w:r>
      <w:r w:rsidRPr="00F37E4D">
        <w:rPr>
          <w:b/>
          <w:bCs/>
        </w:rPr>
        <w:fldChar w:fldCharType="end"/>
      </w:r>
      <w:r>
        <w:t xml:space="preserve"> </w:t>
      </w:r>
      <w:r w:rsidRPr="00557E06">
        <w:t xml:space="preserve">provides summary information on </w:t>
      </w:r>
      <w:r>
        <w:t xml:space="preserve">community facilities and services in Charlotte County and </w:t>
      </w:r>
      <w:r w:rsidRPr="00F37E4D">
        <w:rPr>
          <w:b/>
          <w:bCs/>
        </w:rPr>
        <w:fldChar w:fldCharType="begin"/>
      </w:r>
      <w:r w:rsidRPr="00F37E4D">
        <w:rPr>
          <w:b/>
          <w:bCs/>
        </w:rPr>
        <w:instrText xml:space="preserve"> REF _Ref23493190 \h </w:instrText>
      </w:r>
      <w:r w:rsidR="00F37E4D">
        <w:rPr>
          <w:b/>
          <w:bCs/>
        </w:rPr>
        <w:instrText xml:space="preserve"> \* MERGEFORMAT </w:instrText>
      </w:r>
      <w:r w:rsidRPr="00F37E4D">
        <w:rPr>
          <w:b/>
          <w:bCs/>
        </w:rPr>
      </w:r>
      <w:r w:rsidRPr="00F37E4D">
        <w:rPr>
          <w:b/>
          <w:bCs/>
        </w:rPr>
        <w:fldChar w:fldCharType="separate"/>
      </w:r>
      <w:r w:rsidR="00CD6179" w:rsidRPr="00CD6179">
        <w:rPr>
          <w:b/>
          <w:bCs/>
        </w:rPr>
        <w:t xml:space="preserve">Figure </w:t>
      </w:r>
      <w:r w:rsidR="00CD6179" w:rsidRPr="00CD6179">
        <w:rPr>
          <w:b/>
          <w:bCs/>
          <w:noProof/>
        </w:rPr>
        <w:t>5</w:t>
      </w:r>
      <w:r w:rsidR="00CD6179" w:rsidRPr="00CD6179">
        <w:rPr>
          <w:b/>
          <w:bCs/>
          <w:noProof/>
        </w:rPr>
        <w:noBreakHyphen/>
        <w:t>2</w:t>
      </w:r>
      <w:r w:rsidRPr="00F37E4D">
        <w:rPr>
          <w:b/>
          <w:bCs/>
        </w:rPr>
        <w:fldChar w:fldCharType="end"/>
      </w:r>
      <w:r>
        <w:t xml:space="preserve"> </w:t>
      </w:r>
      <w:r w:rsidRPr="00557E06">
        <w:t xml:space="preserve">shows </w:t>
      </w:r>
      <w:r>
        <w:t>their locations</w:t>
      </w:r>
      <w:r w:rsidRPr="00557E06">
        <w:t xml:space="preserve">. </w:t>
      </w:r>
      <w:r w:rsidRPr="00ED25A8">
        <w:t>Future transportation projects that provide greater access to these community facilities will have positive social-cultural impact</w:t>
      </w:r>
      <w:r w:rsidR="009802A4">
        <w:t>s.</w:t>
      </w:r>
    </w:p>
    <w:p w14:paraId="1DA862AA" w14:textId="09F23D1A" w:rsidR="008D0699" w:rsidRPr="00EF6164" w:rsidRDefault="008D0699" w:rsidP="008D0699">
      <w:pPr>
        <w:pStyle w:val="Caption"/>
      </w:pPr>
      <w:bookmarkStart w:id="11" w:name="_Ref23493178"/>
      <w:bookmarkStart w:id="12" w:name="_Toc25219221"/>
      <w:bookmarkStart w:id="13" w:name="_Toc59588693"/>
      <w:r>
        <w:t xml:space="preserve">Table </w:t>
      </w:r>
      <w:r w:rsidR="009E275B">
        <w:fldChar w:fldCharType="begin"/>
      </w:r>
      <w:r w:rsidR="009E275B">
        <w:instrText xml:space="preserve"> STYLEREF 1 \s </w:instrText>
      </w:r>
      <w:r w:rsidR="009E275B">
        <w:fldChar w:fldCharType="separate"/>
      </w:r>
      <w:r w:rsidR="00CD6179">
        <w:rPr>
          <w:noProof/>
        </w:rPr>
        <w:t>5</w:t>
      </w:r>
      <w:r w:rsidR="009E275B">
        <w:rPr>
          <w:noProof/>
        </w:rPr>
        <w:fldChar w:fldCharType="end"/>
      </w:r>
      <w:r>
        <w:noBreakHyphen/>
      </w:r>
      <w:r w:rsidR="009E275B">
        <w:fldChar w:fldCharType="begin"/>
      </w:r>
      <w:r w:rsidR="009E275B">
        <w:instrText xml:space="preserve"> SEQ Table \* ARABIC \s 1 </w:instrText>
      </w:r>
      <w:r w:rsidR="009E275B">
        <w:fldChar w:fldCharType="separate"/>
      </w:r>
      <w:r w:rsidR="00CD6179">
        <w:rPr>
          <w:noProof/>
        </w:rPr>
        <w:t>3</w:t>
      </w:r>
      <w:r w:rsidR="009E275B">
        <w:rPr>
          <w:noProof/>
        </w:rPr>
        <w:fldChar w:fldCharType="end"/>
      </w:r>
      <w:bookmarkEnd w:id="11"/>
      <w:r w:rsidRPr="00EF6164">
        <w:t xml:space="preserve">: </w:t>
      </w:r>
      <w:r>
        <w:t>Summary Information on Community Facilities</w:t>
      </w:r>
      <w:bookmarkEnd w:id="12"/>
      <w:bookmarkEnd w:id="13"/>
    </w:p>
    <w:tbl>
      <w:tblPr>
        <w:tblStyle w:val="GridTable4-Accent3"/>
        <w:tblW w:w="0" w:type="auto"/>
        <w:jc w:val="center"/>
        <w:tblLook w:val="04A0" w:firstRow="1" w:lastRow="0" w:firstColumn="1" w:lastColumn="0" w:noHBand="0" w:noVBand="1"/>
      </w:tblPr>
      <w:tblGrid>
        <w:gridCol w:w="1975"/>
        <w:gridCol w:w="2255"/>
      </w:tblGrid>
      <w:tr w:rsidR="008D0699" w14:paraId="7328103A" w14:textId="77777777" w:rsidTr="00770618">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1975" w:type="dxa"/>
          </w:tcPr>
          <w:p w14:paraId="5FDDDAF0" w14:textId="77777777" w:rsidR="008D0699" w:rsidRPr="00094E46" w:rsidRDefault="008D0699" w:rsidP="00770618">
            <w:pPr>
              <w:jc w:val="center"/>
              <w:rPr>
                <w:color w:val="auto"/>
              </w:rPr>
            </w:pPr>
            <w:r w:rsidRPr="00094E46">
              <w:rPr>
                <w:color w:val="auto"/>
              </w:rPr>
              <w:t>Facility Type</w:t>
            </w:r>
          </w:p>
        </w:tc>
        <w:tc>
          <w:tcPr>
            <w:tcW w:w="2255" w:type="dxa"/>
          </w:tcPr>
          <w:p w14:paraId="5D251874" w14:textId="77777777" w:rsidR="008D0699" w:rsidRPr="00094E46" w:rsidRDefault="008D0699" w:rsidP="00770618">
            <w:pPr>
              <w:jc w:val="center"/>
              <w:cnfStyle w:val="100000000000" w:firstRow="1" w:lastRow="0" w:firstColumn="0" w:lastColumn="0" w:oddVBand="0" w:evenVBand="0" w:oddHBand="0" w:evenHBand="0" w:firstRowFirstColumn="0" w:firstRowLastColumn="0" w:lastRowFirstColumn="0" w:lastRowLastColumn="0"/>
              <w:rPr>
                <w:color w:val="auto"/>
              </w:rPr>
            </w:pPr>
            <w:r w:rsidRPr="00094E46">
              <w:rPr>
                <w:color w:val="auto"/>
              </w:rPr>
              <w:t>Number of Facilities</w:t>
            </w:r>
          </w:p>
        </w:tc>
      </w:tr>
      <w:tr w:rsidR="008D0699" w14:paraId="03D713D2" w14:textId="77777777" w:rsidTr="0077061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63036519" w14:textId="77777777" w:rsidR="008D0699" w:rsidRPr="00552C5B" w:rsidRDefault="008D0699" w:rsidP="00770618">
            <w:pPr>
              <w:rPr>
                <w:b w:val="0"/>
                <w:bCs w:val="0"/>
              </w:rPr>
            </w:pPr>
            <w:r w:rsidRPr="00552C5B">
              <w:rPr>
                <w:rFonts w:ascii="Source Sans Pro" w:hAnsi="Source Sans Pro" w:cs="Arial"/>
                <w:b w:val="0"/>
                <w:bCs w:val="0"/>
              </w:rPr>
              <w:t>Churches</w:t>
            </w:r>
          </w:p>
        </w:tc>
        <w:tc>
          <w:tcPr>
            <w:tcW w:w="2255" w:type="dxa"/>
          </w:tcPr>
          <w:p w14:paraId="144A5CCE" w14:textId="77777777" w:rsidR="008D0699" w:rsidRPr="003D3153" w:rsidRDefault="008D0699" w:rsidP="00770618">
            <w:pPr>
              <w:jc w:val="center"/>
              <w:cnfStyle w:val="000000100000" w:firstRow="0" w:lastRow="0" w:firstColumn="0" w:lastColumn="0" w:oddVBand="0" w:evenVBand="0" w:oddHBand="1" w:evenHBand="0" w:firstRowFirstColumn="0" w:firstRowLastColumn="0" w:lastRowFirstColumn="0" w:lastRowLastColumn="0"/>
            </w:pPr>
            <w:r>
              <w:rPr>
                <w:rFonts w:ascii="Source Sans Pro" w:hAnsi="Source Sans Pro" w:cs="Arial"/>
              </w:rPr>
              <w:t>186</w:t>
            </w:r>
          </w:p>
        </w:tc>
      </w:tr>
      <w:tr w:rsidR="008D0699" w14:paraId="6E8C9D5B" w14:textId="77777777" w:rsidTr="00770618">
        <w:trPr>
          <w:trHeight w:val="98"/>
          <w:jc w:val="center"/>
        </w:trPr>
        <w:tc>
          <w:tcPr>
            <w:cnfStyle w:val="001000000000" w:firstRow="0" w:lastRow="0" w:firstColumn="1" w:lastColumn="0" w:oddVBand="0" w:evenVBand="0" w:oddHBand="0" w:evenHBand="0" w:firstRowFirstColumn="0" w:firstRowLastColumn="0" w:lastRowFirstColumn="0" w:lastRowLastColumn="0"/>
            <w:tcW w:w="1975" w:type="dxa"/>
          </w:tcPr>
          <w:p w14:paraId="6D200F9E" w14:textId="77777777" w:rsidR="008D0699" w:rsidRPr="00552C5B" w:rsidRDefault="008D0699" w:rsidP="00770618">
            <w:pPr>
              <w:rPr>
                <w:b w:val="0"/>
                <w:bCs w:val="0"/>
              </w:rPr>
            </w:pPr>
            <w:r w:rsidRPr="00552C5B">
              <w:rPr>
                <w:rFonts w:ascii="Source Sans Pro" w:hAnsi="Source Sans Pro" w:cs="Arial"/>
                <w:b w:val="0"/>
                <w:bCs w:val="0"/>
              </w:rPr>
              <w:t>Parks</w:t>
            </w:r>
          </w:p>
        </w:tc>
        <w:tc>
          <w:tcPr>
            <w:tcW w:w="2255" w:type="dxa"/>
          </w:tcPr>
          <w:p w14:paraId="02040050" w14:textId="77777777" w:rsidR="008D0699" w:rsidRPr="003D3153" w:rsidRDefault="008D0699" w:rsidP="00770618">
            <w:pPr>
              <w:jc w:val="center"/>
              <w:cnfStyle w:val="000000000000" w:firstRow="0" w:lastRow="0" w:firstColumn="0" w:lastColumn="0" w:oddVBand="0" w:evenVBand="0" w:oddHBand="0" w:evenHBand="0" w:firstRowFirstColumn="0" w:firstRowLastColumn="0" w:lastRowFirstColumn="0" w:lastRowLastColumn="0"/>
            </w:pPr>
            <w:r>
              <w:rPr>
                <w:rFonts w:ascii="Source Sans Pro" w:hAnsi="Source Sans Pro" w:cs="Arial"/>
              </w:rPr>
              <w:t>76</w:t>
            </w:r>
          </w:p>
        </w:tc>
      </w:tr>
      <w:tr w:rsidR="008D0699" w14:paraId="19BBA28F" w14:textId="77777777" w:rsidTr="0077061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237D90EB" w14:textId="77777777" w:rsidR="008D0699" w:rsidRPr="00552C5B" w:rsidRDefault="008D0699" w:rsidP="00770618">
            <w:pPr>
              <w:rPr>
                <w:b w:val="0"/>
                <w:bCs w:val="0"/>
              </w:rPr>
            </w:pPr>
            <w:r w:rsidRPr="00552C5B">
              <w:rPr>
                <w:rFonts w:ascii="Source Sans Pro" w:hAnsi="Source Sans Pro" w:cs="Arial"/>
                <w:b w:val="0"/>
                <w:bCs w:val="0"/>
              </w:rPr>
              <w:t>Schools</w:t>
            </w:r>
          </w:p>
        </w:tc>
        <w:tc>
          <w:tcPr>
            <w:tcW w:w="2255" w:type="dxa"/>
          </w:tcPr>
          <w:p w14:paraId="232D3E4C" w14:textId="77777777" w:rsidR="008D0699" w:rsidRPr="003D3153" w:rsidRDefault="008D0699" w:rsidP="00770618">
            <w:pPr>
              <w:jc w:val="center"/>
              <w:cnfStyle w:val="000000100000" w:firstRow="0" w:lastRow="0" w:firstColumn="0" w:lastColumn="0" w:oddVBand="0" w:evenVBand="0" w:oddHBand="1" w:evenHBand="0" w:firstRowFirstColumn="0" w:firstRowLastColumn="0" w:lastRowFirstColumn="0" w:lastRowLastColumn="0"/>
            </w:pPr>
            <w:r>
              <w:rPr>
                <w:rFonts w:ascii="Source Sans Pro" w:hAnsi="Source Sans Pro" w:cs="Arial"/>
              </w:rPr>
              <w:t>37</w:t>
            </w:r>
          </w:p>
        </w:tc>
      </w:tr>
      <w:tr w:rsidR="008D0699" w14:paraId="5B755BD5" w14:textId="77777777" w:rsidTr="00770618">
        <w:trPr>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4E57FD39" w14:textId="77777777" w:rsidR="008D0699" w:rsidRPr="00552C5B" w:rsidRDefault="008D0699" w:rsidP="00770618">
            <w:pPr>
              <w:rPr>
                <w:b w:val="0"/>
                <w:bCs w:val="0"/>
              </w:rPr>
            </w:pPr>
            <w:r w:rsidRPr="00552C5B">
              <w:rPr>
                <w:b w:val="0"/>
                <w:bCs w:val="0"/>
              </w:rPr>
              <w:t>Public Facilities</w:t>
            </w:r>
          </w:p>
        </w:tc>
        <w:tc>
          <w:tcPr>
            <w:tcW w:w="2255" w:type="dxa"/>
          </w:tcPr>
          <w:p w14:paraId="209A532B" w14:textId="77777777" w:rsidR="008D0699" w:rsidRPr="003D3153" w:rsidRDefault="008D0699" w:rsidP="00770618">
            <w:pPr>
              <w:jc w:val="center"/>
              <w:cnfStyle w:val="000000000000" w:firstRow="0" w:lastRow="0" w:firstColumn="0" w:lastColumn="0" w:oddVBand="0" w:evenVBand="0" w:oddHBand="0" w:evenHBand="0" w:firstRowFirstColumn="0" w:firstRowLastColumn="0" w:lastRowFirstColumn="0" w:lastRowLastColumn="0"/>
            </w:pPr>
            <w:r>
              <w:t>26</w:t>
            </w:r>
          </w:p>
        </w:tc>
      </w:tr>
      <w:tr w:rsidR="008D0699" w14:paraId="5C200AAB" w14:textId="77777777" w:rsidTr="0077061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4050D199" w14:textId="77777777" w:rsidR="008D0699" w:rsidRPr="00552C5B" w:rsidRDefault="008D0699" w:rsidP="00770618">
            <w:pPr>
              <w:rPr>
                <w:b w:val="0"/>
                <w:bCs w:val="0"/>
              </w:rPr>
            </w:pPr>
            <w:r w:rsidRPr="00552C5B">
              <w:rPr>
                <w:rFonts w:ascii="Source Sans Pro" w:hAnsi="Source Sans Pro" w:cs="Arial"/>
                <w:b w:val="0"/>
                <w:bCs w:val="0"/>
              </w:rPr>
              <w:lastRenderedPageBreak/>
              <w:t>Fire Stations</w:t>
            </w:r>
          </w:p>
        </w:tc>
        <w:tc>
          <w:tcPr>
            <w:tcW w:w="2255" w:type="dxa"/>
          </w:tcPr>
          <w:p w14:paraId="77859E8A" w14:textId="77777777" w:rsidR="008D0699" w:rsidRPr="003D3153" w:rsidRDefault="008D0699" w:rsidP="00770618">
            <w:pPr>
              <w:jc w:val="center"/>
              <w:cnfStyle w:val="000000100000" w:firstRow="0" w:lastRow="0" w:firstColumn="0" w:lastColumn="0" w:oddVBand="0" w:evenVBand="0" w:oddHBand="1" w:evenHBand="0" w:firstRowFirstColumn="0" w:firstRowLastColumn="0" w:lastRowFirstColumn="0" w:lastRowLastColumn="0"/>
            </w:pPr>
            <w:r>
              <w:rPr>
                <w:rFonts w:ascii="Source Sans Pro" w:hAnsi="Source Sans Pro" w:cs="Arial"/>
              </w:rPr>
              <w:t>18</w:t>
            </w:r>
          </w:p>
        </w:tc>
      </w:tr>
      <w:tr w:rsidR="008D0699" w14:paraId="30AB3AE8" w14:textId="77777777" w:rsidTr="00770618">
        <w:trPr>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544629BF" w14:textId="77777777" w:rsidR="008D0699" w:rsidRPr="00552C5B" w:rsidRDefault="008D0699" w:rsidP="00770618">
            <w:pPr>
              <w:rPr>
                <w:b w:val="0"/>
                <w:bCs w:val="0"/>
              </w:rPr>
            </w:pPr>
            <w:r w:rsidRPr="00552C5B">
              <w:rPr>
                <w:rFonts w:ascii="Source Sans Pro" w:hAnsi="Source Sans Pro" w:cs="Arial"/>
                <w:b w:val="0"/>
                <w:bCs w:val="0"/>
              </w:rPr>
              <w:t>Hospital/Clinics</w:t>
            </w:r>
          </w:p>
        </w:tc>
        <w:tc>
          <w:tcPr>
            <w:tcW w:w="2255" w:type="dxa"/>
          </w:tcPr>
          <w:p w14:paraId="22BC663F" w14:textId="77777777" w:rsidR="008D0699" w:rsidRPr="003D3153" w:rsidRDefault="008D0699" w:rsidP="00770618">
            <w:pPr>
              <w:jc w:val="center"/>
              <w:cnfStyle w:val="000000000000" w:firstRow="0" w:lastRow="0" w:firstColumn="0" w:lastColumn="0" w:oddVBand="0" w:evenVBand="0" w:oddHBand="0" w:evenHBand="0" w:firstRowFirstColumn="0" w:firstRowLastColumn="0" w:lastRowFirstColumn="0" w:lastRowLastColumn="0"/>
            </w:pPr>
            <w:r>
              <w:rPr>
                <w:rFonts w:ascii="Source Sans Pro" w:hAnsi="Source Sans Pro" w:cs="Arial"/>
              </w:rPr>
              <w:t>4</w:t>
            </w:r>
          </w:p>
        </w:tc>
      </w:tr>
      <w:tr w:rsidR="008D0699" w14:paraId="5F809688" w14:textId="77777777" w:rsidTr="00770618">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33FF9CB7" w14:textId="77777777" w:rsidR="008D0699" w:rsidRPr="00552C5B" w:rsidRDefault="008D0699" w:rsidP="00770618">
            <w:pPr>
              <w:rPr>
                <w:b w:val="0"/>
                <w:bCs w:val="0"/>
              </w:rPr>
            </w:pPr>
            <w:r w:rsidRPr="00552C5B">
              <w:rPr>
                <w:rFonts w:ascii="Source Sans Pro" w:hAnsi="Source Sans Pro" w:cs="Arial"/>
                <w:b w:val="0"/>
                <w:bCs w:val="0"/>
              </w:rPr>
              <w:t>Libraries</w:t>
            </w:r>
          </w:p>
        </w:tc>
        <w:tc>
          <w:tcPr>
            <w:tcW w:w="2255" w:type="dxa"/>
          </w:tcPr>
          <w:p w14:paraId="702BE86D" w14:textId="77777777" w:rsidR="008D0699" w:rsidRPr="003D3153" w:rsidRDefault="008D0699" w:rsidP="00770618">
            <w:pPr>
              <w:jc w:val="center"/>
              <w:cnfStyle w:val="000000100000" w:firstRow="0" w:lastRow="0" w:firstColumn="0" w:lastColumn="0" w:oddVBand="0" w:evenVBand="0" w:oddHBand="1" w:evenHBand="0" w:firstRowFirstColumn="0" w:firstRowLastColumn="0" w:lastRowFirstColumn="0" w:lastRowLastColumn="0"/>
            </w:pPr>
            <w:r>
              <w:rPr>
                <w:rFonts w:ascii="Source Sans Pro" w:hAnsi="Source Sans Pro" w:cs="Arial"/>
              </w:rPr>
              <w:t>4</w:t>
            </w:r>
          </w:p>
        </w:tc>
      </w:tr>
      <w:tr w:rsidR="008D0699" w14:paraId="7791E8B7" w14:textId="77777777" w:rsidTr="00770618">
        <w:trPr>
          <w:trHeight w:val="70"/>
          <w:jc w:val="center"/>
        </w:trPr>
        <w:tc>
          <w:tcPr>
            <w:cnfStyle w:val="001000000000" w:firstRow="0" w:lastRow="0" w:firstColumn="1" w:lastColumn="0" w:oddVBand="0" w:evenVBand="0" w:oddHBand="0" w:evenHBand="0" w:firstRowFirstColumn="0" w:firstRowLastColumn="0" w:lastRowFirstColumn="0" w:lastRowLastColumn="0"/>
            <w:tcW w:w="1975" w:type="dxa"/>
          </w:tcPr>
          <w:p w14:paraId="631BBFD6" w14:textId="77777777" w:rsidR="008D0699" w:rsidRPr="00552C5B" w:rsidRDefault="008D0699" w:rsidP="00770618">
            <w:pPr>
              <w:rPr>
                <w:b w:val="0"/>
                <w:bCs w:val="0"/>
              </w:rPr>
            </w:pPr>
            <w:r w:rsidRPr="00552C5B">
              <w:rPr>
                <w:rFonts w:ascii="Source Sans Pro" w:hAnsi="Source Sans Pro" w:cs="Arial"/>
                <w:b w:val="0"/>
                <w:bCs w:val="0"/>
              </w:rPr>
              <w:t>Airports</w:t>
            </w:r>
          </w:p>
        </w:tc>
        <w:tc>
          <w:tcPr>
            <w:tcW w:w="2255" w:type="dxa"/>
          </w:tcPr>
          <w:p w14:paraId="3A9B6C2E" w14:textId="4268C58B" w:rsidR="008D0699" w:rsidRPr="003D3153" w:rsidRDefault="005C6A81" w:rsidP="00770618">
            <w:pPr>
              <w:jc w:val="center"/>
              <w:cnfStyle w:val="000000000000" w:firstRow="0" w:lastRow="0" w:firstColumn="0" w:lastColumn="0" w:oddVBand="0" w:evenVBand="0" w:oddHBand="0" w:evenHBand="0" w:firstRowFirstColumn="0" w:firstRowLastColumn="0" w:lastRowFirstColumn="0" w:lastRowLastColumn="0"/>
            </w:pPr>
            <w:r>
              <w:rPr>
                <w:rFonts w:ascii="Source Sans Pro" w:hAnsi="Source Sans Pro" w:cs="Arial"/>
              </w:rPr>
              <w:t>2</w:t>
            </w:r>
          </w:p>
        </w:tc>
      </w:tr>
    </w:tbl>
    <w:p w14:paraId="3399A3AD" w14:textId="77777777" w:rsidR="008D0699" w:rsidRDefault="008D0699" w:rsidP="008D0699">
      <w:pPr>
        <w:pStyle w:val="Caption"/>
        <w:rPr>
          <w:b w:val="0"/>
          <w:bCs/>
        </w:rPr>
      </w:pPr>
      <w:r w:rsidRPr="00ED25A8">
        <w:rPr>
          <w:b w:val="0"/>
          <w:bCs/>
        </w:rPr>
        <w:t>Source: Charlotte County GIS</w:t>
      </w:r>
    </w:p>
    <w:p w14:paraId="160F3A61" w14:textId="77777777" w:rsidR="00CD6179" w:rsidRDefault="00CD6179">
      <w:pPr>
        <w:sectPr w:rsidR="00CD6179" w:rsidSect="006B5BBE">
          <w:headerReference w:type="default" r:id="rId12"/>
          <w:footerReference w:type="default" r:id="rId13"/>
          <w:type w:val="continuous"/>
          <w:pgSz w:w="12240" w:h="15840" w:code="1"/>
          <w:pgMar w:top="1800" w:right="1440" w:bottom="1152" w:left="1440" w:header="720" w:footer="720" w:gutter="0"/>
          <w:pgNumType w:chapStyle="1"/>
          <w:cols w:space="720"/>
          <w:docGrid w:linePitch="360"/>
        </w:sectPr>
      </w:pPr>
    </w:p>
    <w:p w14:paraId="238D2011" w14:textId="1DD3F3D2" w:rsidR="004A093F" w:rsidRDefault="00CD6179" w:rsidP="00CD6179">
      <w:pPr>
        <w:pStyle w:val="Caption"/>
        <w:spacing w:after="0"/>
      </w:pPr>
      <w:bookmarkStart w:id="14" w:name="_Ref23493720"/>
      <w:bookmarkStart w:id="15" w:name="_Ref22120116"/>
      <w:bookmarkStart w:id="16" w:name="_Toc23492592"/>
      <w:bookmarkStart w:id="17" w:name="_Toc25220332"/>
      <w:bookmarkStart w:id="18" w:name="_Toc51772281"/>
      <w:bookmarkStart w:id="19" w:name="_Toc59588698"/>
      <w:r>
        <w:lastRenderedPageBreak/>
        <w:t xml:space="preserve">Figure </w:t>
      </w:r>
      <w:fldSimple w:instr=" STYLEREF 1 \s ">
        <w:r>
          <w:rPr>
            <w:noProof/>
          </w:rPr>
          <w:t>5</w:t>
        </w:r>
      </w:fldSimple>
      <w:r>
        <w:noBreakHyphen/>
      </w:r>
      <w:fldSimple w:instr=" SEQ Figure \* ARABIC \s 1 ">
        <w:r>
          <w:rPr>
            <w:noProof/>
          </w:rPr>
          <w:t>1</w:t>
        </w:r>
      </w:fldSimple>
      <w:bookmarkEnd w:id="14"/>
      <w:r w:rsidRPr="00477433">
        <w:t>:</w:t>
      </w:r>
      <w:r>
        <w:t xml:space="preserve"> </w:t>
      </w:r>
      <w:r w:rsidR="005C6A81">
        <w:t>Environmental Justice</w:t>
      </w:r>
      <w:r>
        <w:t xml:space="preserve"> </w:t>
      </w:r>
      <w:r w:rsidR="009E275B">
        <w:t xml:space="preserve">Equity </w:t>
      </w:r>
      <w:r>
        <w:t>Areas</w:t>
      </w:r>
      <w:bookmarkEnd w:id="15"/>
      <w:bookmarkEnd w:id="16"/>
      <w:bookmarkEnd w:id="17"/>
      <w:bookmarkEnd w:id="18"/>
      <w:bookmarkEnd w:id="19"/>
    </w:p>
    <w:p w14:paraId="5CD43389" w14:textId="213FE6C1" w:rsidR="004A093F" w:rsidRDefault="004A093F" w:rsidP="003D2B3F">
      <w:pPr>
        <w:jc w:val="center"/>
      </w:pPr>
      <w:r>
        <w:rPr>
          <w:noProof/>
        </w:rPr>
        <w:drawing>
          <wp:inline distT="0" distB="0" distL="0" distR="0" wp14:anchorId="603CB850" wp14:editId="26EC32E2">
            <wp:extent cx="11832336" cy="7659650"/>
            <wp:effectExtent l="0" t="0" r="0" b="0"/>
            <wp:docPr id="17" name="Picture 17" descr="Map showing block groups of Charlotte County identifying the composite index of the Environmental Justice Areas. Areas around the Murdock Village CRA and east of I-75 in Mid-County are the highest concentrations of population addressing the focus of Environmental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block groups of Charlotte County identifying the composite index of the Environmental Justice Areas. Areas around the Murdock Village CRA and east of I-75 in Mid-County are the highest concentrations of population addressing the focus of Environmental Just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32336" cy="7659650"/>
                    </a:xfrm>
                    <a:prstGeom prst="rect">
                      <a:avLst/>
                    </a:prstGeom>
                    <a:noFill/>
                    <a:ln>
                      <a:noFill/>
                    </a:ln>
                  </pic:spPr>
                </pic:pic>
              </a:graphicData>
            </a:graphic>
          </wp:inline>
        </w:drawing>
      </w:r>
      <w:r>
        <w:br w:type="page"/>
      </w:r>
    </w:p>
    <w:p w14:paraId="20E85CFE" w14:textId="7019D72C" w:rsidR="008D0699" w:rsidRDefault="008D0699" w:rsidP="008D0699">
      <w:pPr>
        <w:pStyle w:val="Caption"/>
      </w:pPr>
      <w:bookmarkStart w:id="20" w:name="_Ref23493190"/>
      <w:bookmarkStart w:id="21" w:name="_Toc25220324"/>
      <w:bookmarkStart w:id="22" w:name="_Toc59588699"/>
      <w:r>
        <w:lastRenderedPageBreak/>
        <w:t xml:space="preserve">Figure </w:t>
      </w:r>
      <w:r w:rsidR="009E275B">
        <w:fldChar w:fldCharType="begin"/>
      </w:r>
      <w:r w:rsidR="009E275B">
        <w:instrText xml:space="preserve"> STYLEREF 1 \s </w:instrText>
      </w:r>
      <w:r w:rsidR="009E275B">
        <w:fldChar w:fldCharType="separate"/>
      </w:r>
      <w:r w:rsidR="00CD6179">
        <w:rPr>
          <w:noProof/>
        </w:rPr>
        <w:t>5</w:t>
      </w:r>
      <w:r w:rsidR="009E275B">
        <w:rPr>
          <w:noProof/>
        </w:rPr>
        <w:fldChar w:fldCharType="end"/>
      </w:r>
      <w:r>
        <w:noBreakHyphen/>
      </w:r>
      <w:r w:rsidR="009E275B">
        <w:fldChar w:fldCharType="begin"/>
      </w:r>
      <w:r w:rsidR="009E275B">
        <w:instrText xml:space="preserve"> SEQ Figure \* ARABIC \s 1 </w:instrText>
      </w:r>
      <w:r w:rsidR="009E275B">
        <w:fldChar w:fldCharType="separate"/>
      </w:r>
      <w:r w:rsidR="00CD6179">
        <w:rPr>
          <w:noProof/>
        </w:rPr>
        <w:t>2</w:t>
      </w:r>
      <w:r w:rsidR="009E275B">
        <w:rPr>
          <w:noProof/>
        </w:rPr>
        <w:fldChar w:fldCharType="end"/>
      </w:r>
      <w:bookmarkEnd w:id="20"/>
      <w:r>
        <w:t>: Community Facilities</w:t>
      </w:r>
      <w:bookmarkEnd w:id="21"/>
      <w:bookmarkEnd w:id="22"/>
    </w:p>
    <w:p w14:paraId="6E158D9C" w14:textId="7C02EFBA" w:rsidR="00D756A6" w:rsidRDefault="00D756A6" w:rsidP="004A093F">
      <w:pPr>
        <w:jc w:val="center"/>
      </w:pPr>
      <w:bookmarkStart w:id="23" w:name="_Ref50033665"/>
      <w:bookmarkStart w:id="24" w:name="_Toc53412442"/>
      <w:bookmarkEnd w:id="23"/>
      <w:bookmarkEnd w:id="24"/>
      <w:r>
        <w:rPr>
          <w:noProof/>
        </w:rPr>
        <w:drawing>
          <wp:inline distT="0" distB="0" distL="0" distR="0" wp14:anchorId="319CEFAD" wp14:editId="75F77B8E">
            <wp:extent cx="11836236" cy="7665720"/>
            <wp:effectExtent l="0" t="0" r="0" b="0"/>
            <wp:docPr id="15" name="Picture 15" descr="Map showing the locations of community facilities, including Fire/EMS, public facilities, libraries, airport, hospital, churches, and educational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showing the locations of community facilities, including Fire/EMS, public facilities, libraries, airport, hospital, churches, and educational center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6983" cy="7672681"/>
                    </a:xfrm>
                    <a:prstGeom prst="rect">
                      <a:avLst/>
                    </a:prstGeom>
                    <a:noFill/>
                    <a:ln>
                      <a:noFill/>
                    </a:ln>
                  </pic:spPr>
                </pic:pic>
              </a:graphicData>
            </a:graphic>
          </wp:inline>
        </w:drawing>
      </w:r>
    </w:p>
    <w:sectPr w:rsidR="00D756A6" w:rsidSect="00CD6179">
      <w:headerReference w:type="default" r:id="rId16"/>
      <w:footerReference w:type="default" r:id="rId17"/>
      <w:pgSz w:w="24480" w:h="15840" w:orient="landscape" w:code="17"/>
      <w:pgMar w:top="180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F9B854" w14:textId="77777777" w:rsidR="004B4CB4" w:rsidRDefault="004B4CB4" w:rsidP="00EF6164">
      <w:pPr>
        <w:spacing w:after="0" w:line="240" w:lineRule="auto"/>
      </w:pPr>
      <w:r>
        <w:separator/>
      </w:r>
    </w:p>
  </w:endnote>
  <w:endnote w:type="continuationSeparator" w:id="0">
    <w:p w14:paraId="049EA63C" w14:textId="77777777" w:rsidR="004B4CB4" w:rsidRDefault="004B4CB4" w:rsidP="00EF6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Semibold">
    <w:panose1 w:val="020B0603030403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F7D69" w14:textId="77777777" w:rsidR="00DC0AB2" w:rsidRPr="00EF6164" w:rsidRDefault="00DC0AB2">
    <w:pPr>
      <w:pStyle w:val="Footer"/>
    </w:pPr>
    <w:r>
      <w:rPr>
        <w:b/>
        <w:noProof/>
      </w:rPr>
      <mc:AlternateContent>
        <mc:Choice Requires="wps">
          <w:drawing>
            <wp:anchor distT="0" distB="0" distL="114300" distR="114300" simplePos="0" relativeHeight="251662336" behindDoc="1" locked="0" layoutInCell="1" allowOverlap="1" wp14:anchorId="07735D11" wp14:editId="0068AC69">
              <wp:simplePos x="0" y="0"/>
              <wp:positionH relativeFrom="page">
                <wp:posOffset>0</wp:posOffset>
              </wp:positionH>
              <wp:positionV relativeFrom="paragraph">
                <wp:posOffset>-61504</wp:posOffset>
              </wp:positionV>
              <wp:extent cx="7772400" cy="301716"/>
              <wp:effectExtent l="0" t="0" r="0" b="31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75DD32" id="Rectangle 6" o:spid="_x0000_s1026" alt="&quot;&quot;" style="position:absolute;margin-left:0;margin-top:-4.85pt;width:612pt;height:23.75pt;z-index:-2516541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" fillcolor="#d8d8d8 [2732]" stroked="f" strokeweight="1pt">
              <w10:wrap anchorx="page"/>
            </v:rect>
          </w:pict>
        </mc:Fallback>
      </mc:AlternateContent>
    </w:r>
    <w:r w:rsidRPr="00EF6164">
      <w:rPr>
        <w:b/>
      </w:rPr>
      <w:t>2045 Long Range Transportation Plan |</w:t>
    </w:r>
    <w:r>
      <w:t xml:space="preserve"> </w:t>
    </w:r>
    <w:r w:rsidRPr="00EF6164">
      <w:rPr>
        <w:i/>
      </w:rPr>
      <w:t>Title of Report</w:t>
    </w:r>
    <w:r>
      <w:rPr>
        <w:i/>
      </w:rP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C02A4" w14:textId="4EBD3B92" w:rsidR="00CF6078" w:rsidRDefault="00CF6078" w:rsidP="00B7694B">
    <w:pPr>
      <w:pStyle w:val="Footer"/>
      <w:tabs>
        <w:tab w:val="clear" w:pos="9360"/>
        <w:tab w:val="right" w:pos="12960"/>
        <w:tab w:val="right" w:pos="14400"/>
      </w:tabs>
    </w:pPr>
    <w:r>
      <w:rPr>
        <w:b/>
        <w:noProof/>
      </w:rPr>
      <mc:AlternateContent>
        <mc:Choice Requires="wps">
          <w:drawing>
            <wp:anchor distT="0" distB="0" distL="114300" distR="114300" simplePos="0" relativeHeight="251694080" behindDoc="1" locked="0" layoutInCell="1" allowOverlap="1" wp14:anchorId="6F9C4B6D" wp14:editId="5A06867D">
              <wp:simplePos x="0" y="0"/>
              <wp:positionH relativeFrom="page">
                <wp:posOffset>0</wp:posOffset>
              </wp:positionH>
              <wp:positionV relativeFrom="paragraph">
                <wp:posOffset>-58021</wp:posOffset>
              </wp:positionV>
              <wp:extent cx="7772400" cy="301716"/>
              <wp:effectExtent l="0" t="0" r="0" b="31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6926" id="Rectangle 248" o:spid="_x0000_s1026" alt="&quot;&quot;" style="position:absolute;margin-left:0;margin-top:-4.55pt;width:612pt;height:23.7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" fillcolor="#d8d8d8 [2732]" stroked="f" strokeweight="1pt">
              <w10:wrap anchorx="page"/>
            </v:rect>
          </w:pict>
        </mc:Fallback>
      </mc:AlternateContent>
    </w:r>
    <w:r w:rsidRPr="00EF6164">
      <w:rPr>
        <w:b/>
      </w:rPr>
      <w:t>2045 Long Range Transportation Plan</w:t>
    </w:r>
    <w:r>
      <w:rPr>
        <w:b/>
      </w:rPr>
      <w:t xml:space="preserve"> </w:t>
    </w:r>
    <w:r w:rsidRPr="00EF6164">
      <w:rPr>
        <w:b/>
      </w:rPr>
      <w:t>|</w:t>
    </w:r>
    <w:r>
      <w:t xml:space="preserve"> </w:t>
    </w:r>
    <w:r w:rsidR="00CC6860">
      <w:rPr>
        <w:i/>
      </w:rPr>
      <w:t>Environment</w:t>
    </w:r>
    <w:r w:rsidR="003D2B3F">
      <w:rPr>
        <w:i/>
      </w:rPr>
      <w:t>al</w:t>
    </w:r>
    <w:r w:rsidR="00CC6860">
      <w:rPr>
        <w:i/>
      </w:rPr>
      <w:t xml:space="preserve"> / Socio-Cultural</w:t>
    </w:r>
    <w:r w:rsidR="003D2B3F">
      <w:rPr>
        <w:i/>
      </w:rPr>
      <w:t xml:space="preserve"> &amp; EJ</w:t>
    </w:r>
    <w:r>
      <w:rPr>
        <w:i/>
      </w:rPr>
      <w:tab/>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D9249" w14:textId="4CB875BE" w:rsidR="00CD6179" w:rsidRDefault="00CD6179" w:rsidP="004A093F">
    <w:pPr>
      <w:pStyle w:val="Footer"/>
      <w:tabs>
        <w:tab w:val="clear" w:pos="9360"/>
        <w:tab w:val="right" w:pos="21510"/>
      </w:tabs>
    </w:pPr>
    <w:r>
      <w:rPr>
        <w:b/>
        <w:noProof/>
      </w:rPr>
      <mc:AlternateContent>
        <mc:Choice Requires="wps">
          <w:drawing>
            <wp:anchor distT="0" distB="0" distL="114300" distR="114300" simplePos="0" relativeHeight="251700224" behindDoc="1" locked="0" layoutInCell="1" allowOverlap="1" wp14:anchorId="6D91A454" wp14:editId="0D2963A1">
              <wp:simplePos x="0" y="0"/>
              <wp:positionH relativeFrom="page">
                <wp:posOffset>0</wp:posOffset>
              </wp:positionH>
              <wp:positionV relativeFrom="paragraph">
                <wp:posOffset>-57785</wp:posOffset>
              </wp:positionV>
              <wp:extent cx="15544800" cy="301716"/>
              <wp:effectExtent l="0" t="0" r="0" b="31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44800" cy="30171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4EFCC" id="Rectangle 13" o:spid="_x0000_s1026" alt="&quot;&quot;" style="position:absolute;margin-left:0;margin-top:-4.55pt;width:17in;height:23.7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" fillcolor="#d8d8d8 [2732]" stroked="f" strokeweight="1pt">
              <w10:wrap anchorx="page"/>
            </v:rect>
          </w:pict>
        </mc:Fallback>
      </mc:AlternateContent>
    </w:r>
    <w:r w:rsidRPr="00EF6164">
      <w:rPr>
        <w:b/>
      </w:rPr>
      <w:t>2045 Long Range Transportation Plan</w:t>
    </w:r>
    <w:r>
      <w:rPr>
        <w:b/>
      </w:rPr>
      <w:t xml:space="preserve"> </w:t>
    </w:r>
    <w:r w:rsidRPr="00EF6164">
      <w:rPr>
        <w:b/>
      </w:rPr>
      <w:t>|</w:t>
    </w:r>
    <w:r>
      <w:t xml:space="preserve"> </w:t>
    </w:r>
    <w:r>
      <w:rPr>
        <w:i/>
      </w:rPr>
      <w:t>Environment</w:t>
    </w:r>
    <w:r w:rsidR="003D2B3F">
      <w:rPr>
        <w:i/>
      </w:rPr>
      <w:t>al</w:t>
    </w:r>
    <w:r>
      <w:rPr>
        <w:i/>
      </w:rPr>
      <w:t xml:space="preserve"> / Socio-Cultural</w:t>
    </w:r>
    <w:r w:rsidR="003D2B3F">
      <w:rPr>
        <w:i/>
      </w:rPr>
      <w:t xml:space="preserve"> &amp; EJ</w:t>
    </w:r>
    <w:r>
      <w:rPr>
        <w:i/>
      </w:rP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B9792" w14:textId="77777777" w:rsidR="004B4CB4" w:rsidRDefault="004B4CB4" w:rsidP="00EF6164">
      <w:pPr>
        <w:spacing w:after="0" w:line="240" w:lineRule="auto"/>
      </w:pPr>
      <w:r>
        <w:separator/>
      </w:r>
    </w:p>
  </w:footnote>
  <w:footnote w:type="continuationSeparator" w:id="0">
    <w:p w14:paraId="03CA5153" w14:textId="77777777" w:rsidR="004B4CB4" w:rsidRDefault="004B4CB4" w:rsidP="00EF6164">
      <w:pPr>
        <w:spacing w:after="0" w:line="240" w:lineRule="auto"/>
      </w:pPr>
      <w:r>
        <w:continuationSeparator/>
      </w:r>
    </w:p>
  </w:footnote>
  <w:footnote w:id="1">
    <w:p w14:paraId="4509027F" w14:textId="77777777" w:rsidR="008D0699" w:rsidRDefault="008D0699" w:rsidP="008D0699">
      <w:pPr>
        <w:pStyle w:val="FootnoteText"/>
      </w:pPr>
      <w:r>
        <w:rPr>
          <w:rStyle w:val="FootnoteReference"/>
        </w:rPr>
        <w:footnoteRef/>
      </w:r>
      <w:r>
        <w:t xml:space="preserve"> </w:t>
      </w:r>
      <w:r w:rsidRPr="0038394D">
        <w:t>https://www.fhwa.dot.gov/environment/environmental_justice/ej_at_fhwa/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06872" w14:textId="77777777" w:rsidR="00DC0AB2" w:rsidRPr="00EF6164" w:rsidRDefault="00DC0AB2" w:rsidP="00EF6164">
    <w:pPr>
      <w:pStyle w:val="Header"/>
    </w:pPr>
    <w:r>
      <w:rPr>
        <w:noProof/>
      </w:rPr>
      <w:drawing>
        <wp:anchor distT="0" distB="0" distL="114300" distR="114300" simplePos="0" relativeHeight="251659264" behindDoc="1" locked="0" layoutInCell="1" allowOverlap="1" wp14:anchorId="1AB1B9DF" wp14:editId="0CB7C0B6">
          <wp:simplePos x="0" y="0"/>
          <wp:positionH relativeFrom="column">
            <wp:posOffset>-914400</wp:posOffset>
          </wp:positionH>
          <wp:positionV relativeFrom="paragraph">
            <wp:posOffset>-457200</wp:posOffset>
          </wp:positionV>
          <wp:extent cx="7772400" cy="105156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E4E3B" w14:textId="2A8D23AF" w:rsidR="00DC0AB2" w:rsidRDefault="00841FF5">
    <w:pPr>
      <w:pStyle w:val="Header"/>
    </w:pPr>
    <w:r>
      <w:rPr>
        <w:noProof/>
      </w:rPr>
      <w:drawing>
        <wp:anchor distT="0" distB="0" distL="114300" distR="114300" simplePos="0" relativeHeight="251696128" behindDoc="1" locked="0" layoutInCell="1" allowOverlap="1" wp14:anchorId="6A7AD4A6" wp14:editId="5295F3C4">
          <wp:simplePos x="0" y="0"/>
          <wp:positionH relativeFrom="column">
            <wp:posOffset>-933450</wp:posOffset>
          </wp:positionH>
          <wp:positionV relativeFrom="paragraph">
            <wp:posOffset>-457200</wp:posOffset>
          </wp:positionV>
          <wp:extent cx="7791450" cy="10083102"/>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455" cy="100882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AC1D" w14:textId="77777777" w:rsidR="00CF6078" w:rsidRPr="00EF6164" w:rsidRDefault="00CF6078" w:rsidP="00EF6164">
    <w:pPr>
      <w:pStyle w:val="Header"/>
    </w:pPr>
    <w:r>
      <w:rPr>
        <w:noProof/>
      </w:rPr>
      <w:drawing>
        <wp:anchor distT="0" distB="0" distL="114300" distR="114300" simplePos="0" relativeHeight="251695104" behindDoc="1" locked="0" layoutInCell="1" allowOverlap="1" wp14:anchorId="2180147E" wp14:editId="499EE3F7">
          <wp:simplePos x="0" y="0"/>
          <wp:positionH relativeFrom="column">
            <wp:posOffset>-914400</wp:posOffset>
          </wp:positionH>
          <wp:positionV relativeFrom="paragraph">
            <wp:posOffset>-446243</wp:posOffset>
          </wp:positionV>
          <wp:extent cx="7772400" cy="105156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age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51560"/>
                  </a:xfrm>
                  <a:prstGeom prst="rect">
                    <a:avLst/>
                  </a:prstGeom>
                </pic:spPr>
              </pic:pic>
            </a:graphicData>
          </a:graphic>
          <wp14:sizeRelH relativeFrom="page">
            <wp14:pctWidth>0</wp14:pctWidth>
          </wp14:sizeRelH>
          <wp14:sizeRelV relativeFrom="page">
            <wp14:pctHeight>0</wp14:pctHeight>
          </wp14:sizeRelV>
        </wp:anchor>
      </w:drawing>
    </w:r>
  </w:p>
  <w:p w14:paraId="6DC0A5FB" w14:textId="77777777" w:rsidR="00CF6078" w:rsidRDefault="00CF60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FE75" w14:textId="78951564" w:rsidR="00CD6179" w:rsidRPr="00EF6164" w:rsidRDefault="00955087" w:rsidP="00EF6164">
    <w:pPr>
      <w:pStyle w:val="Header"/>
    </w:pPr>
    <w:r>
      <w:rPr>
        <w:noProof/>
      </w:rPr>
      <w:drawing>
        <wp:anchor distT="0" distB="0" distL="114300" distR="114300" simplePos="0" relativeHeight="251701248" behindDoc="1" locked="0" layoutInCell="1" allowOverlap="1" wp14:anchorId="787C443C" wp14:editId="58D21F79">
          <wp:simplePos x="914400" y="457200"/>
          <wp:positionH relativeFrom="page">
            <wp:align>left</wp:align>
          </wp:positionH>
          <wp:positionV relativeFrom="page">
            <wp:align>top</wp:align>
          </wp:positionV>
          <wp:extent cx="15599942" cy="1051560"/>
          <wp:effectExtent l="0" t="0" r="254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9942" cy="1051560"/>
                  </a:xfrm>
                  <a:prstGeom prst="rect">
                    <a:avLst/>
                  </a:prstGeom>
                  <a:noFill/>
                  <a:ln>
                    <a:noFill/>
                  </a:ln>
                </pic:spPr>
              </pic:pic>
            </a:graphicData>
          </a:graphic>
          <wp14:sizeRelV relativeFrom="margin">
            <wp14:pctHeight>0</wp14:pctHeight>
          </wp14:sizeRelV>
        </wp:anchor>
      </w:drawing>
    </w:r>
  </w:p>
  <w:p w14:paraId="42DD8FC4" w14:textId="77777777" w:rsidR="00CD6179" w:rsidRDefault="00CD61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0A5"/>
    <w:multiLevelType w:val="hybridMultilevel"/>
    <w:tmpl w:val="D3C84288"/>
    <w:lvl w:ilvl="0" w:tplc="86BA08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D72B1B"/>
    <w:multiLevelType w:val="hybridMultilevel"/>
    <w:tmpl w:val="350ED806"/>
    <w:lvl w:ilvl="0" w:tplc="EA962E44">
      <w:start w:val="5"/>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5A50F3"/>
    <w:multiLevelType w:val="hybridMultilevel"/>
    <w:tmpl w:val="98A2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273D1"/>
    <w:multiLevelType w:val="hybridMultilevel"/>
    <w:tmpl w:val="BAFE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D0FEB"/>
    <w:multiLevelType w:val="hybridMultilevel"/>
    <w:tmpl w:val="DFA2F7A6"/>
    <w:lvl w:ilvl="0" w:tplc="04090001">
      <w:start w:val="1"/>
      <w:numFmt w:val="bullet"/>
      <w:lvlText w:val=""/>
      <w:lvlJc w:val="left"/>
      <w:pPr>
        <w:ind w:left="720" w:hanging="360"/>
      </w:pPr>
      <w:rPr>
        <w:rFonts w:ascii="Symbol" w:hAnsi="Symbol" w:hint="default"/>
      </w:rPr>
    </w:lvl>
    <w:lvl w:ilvl="1" w:tplc="5840F3CC">
      <w:numFmt w:val="bullet"/>
      <w:lvlText w:val="•"/>
      <w:lvlJc w:val="left"/>
      <w:pPr>
        <w:ind w:left="1710" w:hanging="630"/>
      </w:pPr>
      <w:rPr>
        <w:rFonts w:ascii="Source Sans Pro" w:eastAsiaTheme="minorHAnsi"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C678E7"/>
    <w:multiLevelType w:val="multilevel"/>
    <w:tmpl w:val="59744688"/>
    <w:lvl w:ilvl="0">
      <w:start w:val="5"/>
      <w:numFmt w:val="decimal"/>
      <w:pStyle w:val="Heading1"/>
      <w:suff w:val="space"/>
      <w:lvlText w:val="Chapter %1:"/>
      <w:lvlJc w:val="left"/>
      <w:pPr>
        <w:ind w:left="432" w:hanging="432"/>
      </w:pPr>
      <w:rPr>
        <w:rFonts w:hint="default"/>
        <w:color w:val="0F75BC" w:themeColor="accent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4CBD3BA9"/>
    <w:multiLevelType w:val="hybridMultilevel"/>
    <w:tmpl w:val="157A5AB8"/>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 w15:restartNumberingAfterBreak="0">
    <w:nsid w:val="4D2679F2"/>
    <w:multiLevelType w:val="hybridMultilevel"/>
    <w:tmpl w:val="30AA6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8920A9"/>
    <w:multiLevelType w:val="hybridMultilevel"/>
    <w:tmpl w:val="6C5CA5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CD2892"/>
    <w:multiLevelType w:val="hybridMultilevel"/>
    <w:tmpl w:val="3984D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5C42BD"/>
    <w:multiLevelType w:val="hybridMultilevel"/>
    <w:tmpl w:val="4386D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8"/>
  </w:num>
  <w:num w:numId="6">
    <w:abstractNumId w:val="1"/>
  </w:num>
  <w:num w:numId="7">
    <w:abstractNumId w:val="10"/>
  </w:num>
  <w:num w:numId="8">
    <w:abstractNumId w:val="6"/>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4A2"/>
    <w:rsid w:val="00016266"/>
    <w:rsid w:val="00023A6A"/>
    <w:rsid w:val="0002620B"/>
    <w:rsid w:val="00036A63"/>
    <w:rsid w:val="000532D0"/>
    <w:rsid w:val="0005707E"/>
    <w:rsid w:val="00062055"/>
    <w:rsid w:val="000B09F2"/>
    <w:rsid w:val="000D2557"/>
    <w:rsid w:val="000D7D90"/>
    <w:rsid w:val="000E1923"/>
    <w:rsid w:val="000F5F9D"/>
    <w:rsid w:val="00107B52"/>
    <w:rsid w:val="00121DFC"/>
    <w:rsid w:val="00173D87"/>
    <w:rsid w:val="001803B4"/>
    <w:rsid w:val="00185501"/>
    <w:rsid w:val="001A05BF"/>
    <w:rsid w:val="001C083C"/>
    <w:rsid w:val="001E74F2"/>
    <w:rsid w:val="00221A78"/>
    <w:rsid w:val="00227BC0"/>
    <w:rsid w:val="002365AA"/>
    <w:rsid w:val="00237EEB"/>
    <w:rsid w:val="00275227"/>
    <w:rsid w:val="002B2C96"/>
    <w:rsid w:val="002C1BD4"/>
    <w:rsid w:val="002D62BC"/>
    <w:rsid w:val="002F50DD"/>
    <w:rsid w:val="0031029C"/>
    <w:rsid w:val="00326A13"/>
    <w:rsid w:val="003A04D7"/>
    <w:rsid w:val="003A5FAE"/>
    <w:rsid w:val="003C0F5A"/>
    <w:rsid w:val="003C1073"/>
    <w:rsid w:val="003C3CD1"/>
    <w:rsid w:val="003D2B3F"/>
    <w:rsid w:val="003E74E0"/>
    <w:rsid w:val="00406FC1"/>
    <w:rsid w:val="0041486E"/>
    <w:rsid w:val="00425258"/>
    <w:rsid w:val="00433083"/>
    <w:rsid w:val="004523D2"/>
    <w:rsid w:val="004639E3"/>
    <w:rsid w:val="00487597"/>
    <w:rsid w:val="004904A2"/>
    <w:rsid w:val="004A093F"/>
    <w:rsid w:val="004A6782"/>
    <w:rsid w:val="004B4CB4"/>
    <w:rsid w:val="004C7761"/>
    <w:rsid w:val="004D03A4"/>
    <w:rsid w:val="004F3836"/>
    <w:rsid w:val="004F461A"/>
    <w:rsid w:val="00535D80"/>
    <w:rsid w:val="005563B8"/>
    <w:rsid w:val="00560C4B"/>
    <w:rsid w:val="005801A4"/>
    <w:rsid w:val="00597616"/>
    <w:rsid w:val="005A08E5"/>
    <w:rsid w:val="005B2A56"/>
    <w:rsid w:val="005C6A81"/>
    <w:rsid w:val="005E2887"/>
    <w:rsid w:val="005F0A3E"/>
    <w:rsid w:val="00653D00"/>
    <w:rsid w:val="006729C5"/>
    <w:rsid w:val="00675E8A"/>
    <w:rsid w:val="00685D99"/>
    <w:rsid w:val="006904C5"/>
    <w:rsid w:val="006A7CE3"/>
    <w:rsid w:val="006B5BBE"/>
    <w:rsid w:val="006C0DBA"/>
    <w:rsid w:val="006E37A6"/>
    <w:rsid w:val="006F17DB"/>
    <w:rsid w:val="006F4094"/>
    <w:rsid w:val="007035AB"/>
    <w:rsid w:val="00723527"/>
    <w:rsid w:val="00747FE4"/>
    <w:rsid w:val="00762FA8"/>
    <w:rsid w:val="00765359"/>
    <w:rsid w:val="0077098C"/>
    <w:rsid w:val="0077130A"/>
    <w:rsid w:val="007A497A"/>
    <w:rsid w:val="007E2DD5"/>
    <w:rsid w:val="007F19F2"/>
    <w:rsid w:val="007F2040"/>
    <w:rsid w:val="00800BB5"/>
    <w:rsid w:val="008111B5"/>
    <w:rsid w:val="00814CAE"/>
    <w:rsid w:val="00841FF5"/>
    <w:rsid w:val="008548A4"/>
    <w:rsid w:val="00867917"/>
    <w:rsid w:val="00872233"/>
    <w:rsid w:val="008A02D1"/>
    <w:rsid w:val="008A51A6"/>
    <w:rsid w:val="008C7E69"/>
    <w:rsid w:val="008D0699"/>
    <w:rsid w:val="008D42F5"/>
    <w:rsid w:val="008F238D"/>
    <w:rsid w:val="008F524E"/>
    <w:rsid w:val="0093474E"/>
    <w:rsid w:val="009362E1"/>
    <w:rsid w:val="009521C2"/>
    <w:rsid w:val="00955087"/>
    <w:rsid w:val="00960837"/>
    <w:rsid w:val="009802A4"/>
    <w:rsid w:val="00992F72"/>
    <w:rsid w:val="009B01DF"/>
    <w:rsid w:val="009B4125"/>
    <w:rsid w:val="009C3D78"/>
    <w:rsid w:val="009D144A"/>
    <w:rsid w:val="009E275B"/>
    <w:rsid w:val="009E2882"/>
    <w:rsid w:val="009E3816"/>
    <w:rsid w:val="009F01D8"/>
    <w:rsid w:val="009F0710"/>
    <w:rsid w:val="009F665C"/>
    <w:rsid w:val="00A26090"/>
    <w:rsid w:val="00A306B3"/>
    <w:rsid w:val="00A50850"/>
    <w:rsid w:val="00A763E9"/>
    <w:rsid w:val="00AB2079"/>
    <w:rsid w:val="00AB647F"/>
    <w:rsid w:val="00AC0DC2"/>
    <w:rsid w:val="00AE0039"/>
    <w:rsid w:val="00AF46CA"/>
    <w:rsid w:val="00B06D91"/>
    <w:rsid w:val="00B11C0B"/>
    <w:rsid w:val="00B22D52"/>
    <w:rsid w:val="00B235E0"/>
    <w:rsid w:val="00B3135B"/>
    <w:rsid w:val="00B51B54"/>
    <w:rsid w:val="00B6103B"/>
    <w:rsid w:val="00B90DD9"/>
    <w:rsid w:val="00BA43C3"/>
    <w:rsid w:val="00BB0CE3"/>
    <w:rsid w:val="00BD2014"/>
    <w:rsid w:val="00BD3472"/>
    <w:rsid w:val="00BD6298"/>
    <w:rsid w:val="00BF20FD"/>
    <w:rsid w:val="00C00510"/>
    <w:rsid w:val="00C073B5"/>
    <w:rsid w:val="00C12991"/>
    <w:rsid w:val="00C25FAB"/>
    <w:rsid w:val="00C446EE"/>
    <w:rsid w:val="00C576BD"/>
    <w:rsid w:val="00CA6F3D"/>
    <w:rsid w:val="00CB3692"/>
    <w:rsid w:val="00CC6860"/>
    <w:rsid w:val="00CD6179"/>
    <w:rsid w:val="00CD6EB7"/>
    <w:rsid w:val="00CE2EBA"/>
    <w:rsid w:val="00CF6078"/>
    <w:rsid w:val="00D33BC3"/>
    <w:rsid w:val="00D422DB"/>
    <w:rsid w:val="00D756A6"/>
    <w:rsid w:val="00D80FB5"/>
    <w:rsid w:val="00DA303A"/>
    <w:rsid w:val="00DA762D"/>
    <w:rsid w:val="00DB37A1"/>
    <w:rsid w:val="00DC0AB2"/>
    <w:rsid w:val="00DE1EE8"/>
    <w:rsid w:val="00DE6300"/>
    <w:rsid w:val="00DE6CF8"/>
    <w:rsid w:val="00DF14E1"/>
    <w:rsid w:val="00DF2637"/>
    <w:rsid w:val="00E02355"/>
    <w:rsid w:val="00E12248"/>
    <w:rsid w:val="00E22041"/>
    <w:rsid w:val="00E2610E"/>
    <w:rsid w:val="00E3434E"/>
    <w:rsid w:val="00E427AF"/>
    <w:rsid w:val="00E6558B"/>
    <w:rsid w:val="00E871EC"/>
    <w:rsid w:val="00ED71C3"/>
    <w:rsid w:val="00EF372E"/>
    <w:rsid w:val="00EF6164"/>
    <w:rsid w:val="00F050C6"/>
    <w:rsid w:val="00F15CE4"/>
    <w:rsid w:val="00F16CBA"/>
    <w:rsid w:val="00F305AE"/>
    <w:rsid w:val="00F37E4D"/>
    <w:rsid w:val="00F46BD6"/>
    <w:rsid w:val="00F64333"/>
    <w:rsid w:val="00FC0FF0"/>
    <w:rsid w:val="00FE4B56"/>
    <w:rsid w:val="00FE50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2962BAB"/>
  <w15:chartTrackingRefBased/>
  <w15:docId w15:val="{C6E32492-70EE-46C3-8D28-ABB25F533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B01DF"/>
    <w:pPr>
      <w:keepNext/>
      <w:keepLines/>
      <w:numPr>
        <w:numId w:val="1"/>
      </w:numPr>
      <w:spacing w:before="240" w:after="0"/>
      <w:outlineLvl w:val="0"/>
    </w:pPr>
    <w:rPr>
      <w:rFonts w:asciiTheme="majorHAnsi" w:eastAsiaTheme="majorEastAsia" w:hAnsiTheme="majorHAnsi" w:cstheme="majorBidi"/>
      <w:color w:val="0F75BC" w:themeColor="accent2"/>
      <w:sz w:val="84"/>
      <w:szCs w:val="32"/>
    </w:rPr>
  </w:style>
  <w:style w:type="paragraph" w:styleId="Heading2">
    <w:name w:val="heading 2"/>
    <w:basedOn w:val="Normal"/>
    <w:next w:val="Normal"/>
    <w:link w:val="Heading2Char"/>
    <w:unhideWhenUsed/>
    <w:qFormat/>
    <w:rsid w:val="00CA6F3D"/>
    <w:pPr>
      <w:keepNext/>
      <w:keepLines/>
      <w:numPr>
        <w:ilvl w:val="1"/>
        <w:numId w:val="1"/>
      </w:numPr>
      <w:spacing w:before="40" w:after="240"/>
      <w:outlineLvl w:val="1"/>
    </w:pPr>
    <w:rPr>
      <w:rFonts w:asciiTheme="majorHAnsi" w:eastAsiaTheme="majorEastAsia" w:hAnsiTheme="majorHAnsi" w:cstheme="majorBidi"/>
      <w:b/>
      <w:color w:val="0E5E67"/>
      <w:sz w:val="32"/>
      <w:szCs w:val="32"/>
    </w:rPr>
  </w:style>
  <w:style w:type="paragraph" w:styleId="Heading3">
    <w:name w:val="heading 3"/>
    <w:basedOn w:val="Normal"/>
    <w:next w:val="Normal"/>
    <w:link w:val="Heading3Char"/>
    <w:unhideWhenUsed/>
    <w:qFormat/>
    <w:rsid w:val="00DC0AB2"/>
    <w:pPr>
      <w:keepNext/>
      <w:keepLines/>
      <w:numPr>
        <w:ilvl w:val="2"/>
        <w:numId w:val="1"/>
      </w:numPr>
      <w:spacing w:before="40" w:after="0"/>
      <w:outlineLvl w:val="2"/>
    </w:pPr>
    <w:rPr>
      <w:rFonts w:asciiTheme="majorHAnsi" w:eastAsiaTheme="majorEastAsia" w:hAnsiTheme="majorHAnsi" w:cstheme="majorBidi"/>
      <w:color w:val="46641E"/>
      <w:sz w:val="24"/>
      <w:szCs w:val="24"/>
    </w:rPr>
  </w:style>
  <w:style w:type="paragraph" w:styleId="Heading4">
    <w:name w:val="heading 4"/>
    <w:aliases w:val="Tables and Figures"/>
    <w:basedOn w:val="Normal"/>
    <w:next w:val="Normal"/>
    <w:link w:val="Heading4Char"/>
    <w:unhideWhenUsed/>
    <w:qFormat/>
    <w:rsid w:val="00EF6164"/>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unhideWhenUsed/>
    <w:qFormat/>
    <w:rsid w:val="00EF6164"/>
    <w:pPr>
      <w:keepNext/>
      <w:keepLines/>
      <w:numPr>
        <w:ilvl w:val="4"/>
        <w:numId w:val="1"/>
      </w:numPr>
      <w:spacing w:before="40" w:after="0"/>
      <w:outlineLvl w:val="4"/>
    </w:pPr>
    <w:rPr>
      <w:rFonts w:asciiTheme="majorHAnsi" w:eastAsiaTheme="majorEastAsia" w:hAnsiTheme="majorHAnsi" w:cstheme="majorBidi"/>
      <w:color w:val="68962C" w:themeColor="accent1" w:themeShade="BF"/>
    </w:rPr>
  </w:style>
  <w:style w:type="paragraph" w:styleId="Heading6">
    <w:name w:val="heading 6"/>
    <w:basedOn w:val="Normal"/>
    <w:next w:val="Normal"/>
    <w:link w:val="Heading6Char"/>
    <w:uiPriority w:val="9"/>
    <w:unhideWhenUsed/>
    <w:qFormat/>
    <w:rsid w:val="00EF6164"/>
    <w:pPr>
      <w:keepNext/>
      <w:keepLines/>
      <w:numPr>
        <w:ilvl w:val="5"/>
        <w:numId w:val="1"/>
      </w:numPr>
      <w:spacing w:before="40" w:after="0"/>
      <w:outlineLvl w:val="5"/>
    </w:pPr>
    <w:rPr>
      <w:rFonts w:asciiTheme="majorHAnsi" w:eastAsiaTheme="majorEastAsia" w:hAnsiTheme="majorHAnsi" w:cstheme="majorBidi"/>
      <w:color w:val="45631D" w:themeColor="accent1" w:themeShade="7F"/>
    </w:rPr>
  </w:style>
  <w:style w:type="paragraph" w:styleId="Heading7">
    <w:name w:val="heading 7"/>
    <w:basedOn w:val="Normal"/>
    <w:next w:val="Normal"/>
    <w:link w:val="Heading7Char"/>
    <w:uiPriority w:val="9"/>
    <w:unhideWhenUsed/>
    <w:qFormat/>
    <w:rsid w:val="00EF6164"/>
    <w:pPr>
      <w:keepNext/>
      <w:keepLines/>
      <w:numPr>
        <w:ilvl w:val="6"/>
        <w:numId w:val="1"/>
      </w:numPr>
      <w:spacing w:before="40" w:after="0"/>
      <w:outlineLvl w:val="6"/>
    </w:pPr>
    <w:rPr>
      <w:rFonts w:asciiTheme="majorHAnsi" w:eastAsiaTheme="majorEastAsia" w:hAnsiTheme="majorHAnsi" w:cstheme="majorBidi"/>
      <w:i/>
      <w:iCs/>
      <w:color w:val="45631D" w:themeColor="accent1" w:themeShade="7F"/>
    </w:rPr>
  </w:style>
  <w:style w:type="paragraph" w:styleId="Heading8">
    <w:name w:val="heading 8"/>
    <w:basedOn w:val="Normal"/>
    <w:next w:val="Normal"/>
    <w:link w:val="Heading8Char"/>
    <w:uiPriority w:val="9"/>
    <w:unhideWhenUsed/>
    <w:qFormat/>
    <w:rsid w:val="00EF616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F616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4-Accent2">
    <w:name w:val="List Table 4 Accent 2"/>
    <w:basedOn w:val="TableNormal"/>
    <w:uiPriority w:val="49"/>
    <w:rsid w:val="00F16CBA"/>
    <w:pPr>
      <w:spacing w:after="0" w:line="240" w:lineRule="auto"/>
      <w:jc w:val="center"/>
    </w:pPr>
    <w:tblPr>
      <w:tblStyleRowBandSize w:val="1"/>
      <w:tblStyleColBandSize w:val="1"/>
      <w:tblBorders>
        <w:top w:val="single" w:sz="4" w:space="0" w:color="54B0F1" w:themeColor="accent2" w:themeTint="99"/>
        <w:left w:val="single" w:sz="4" w:space="0" w:color="54B0F1" w:themeColor="accent2" w:themeTint="99"/>
        <w:bottom w:val="single" w:sz="4" w:space="0" w:color="54B0F1" w:themeColor="accent2" w:themeTint="99"/>
        <w:right w:val="single" w:sz="4" w:space="0" w:color="54B0F1" w:themeColor="accent2" w:themeTint="99"/>
        <w:insideH w:val="single" w:sz="4" w:space="0" w:color="54B0F1" w:themeColor="accent2" w:themeTint="99"/>
      </w:tblBorders>
    </w:tblPr>
    <w:tcPr>
      <w:vAlign w:val="center"/>
    </w:tcPr>
    <w:tblStylePr w:type="firstRow">
      <w:rPr>
        <w:b/>
        <w:bCs/>
        <w:color w:val="FFFFFF" w:themeColor="background1"/>
      </w:rPr>
      <w:tblPr/>
      <w:tcPr>
        <w:tcBorders>
          <w:top w:val="single" w:sz="4" w:space="0" w:color="0F75BC" w:themeColor="accent2"/>
          <w:left w:val="single" w:sz="4" w:space="0" w:color="0F75BC" w:themeColor="accent2"/>
          <w:bottom w:val="single" w:sz="4" w:space="0" w:color="0F75BC" w:themeColor="accent2"/>
          <w:right w:val="single" w:sz="4" w:space="0" w:color="0F75BC" w:themeColor="accent2"/>
          <w:insideH w:val="nil"/>
        </w:tcBorders>
        <w:shd w:val="clear" w:color="auto" w:fill="0F75BC" w:themeFill="accent2"/>
      </w:tcPr>
    </w:tblStylePr>
    <w:tblStylePr w:type="lastRow">
      <w:rPr>
        <w:b w:val="0"/>
        <w:bCs/>
      </w:rPr>
      <w:tblPr/>
      <w:tcPr>
        <w:tcBorders>
          <w:top w:val="double" w:sz="4" w:space="0" w:color="54B0F1" w:themeColor="accent2" w:themeTint="99"/>
        </w:tcBorders>
      </w:tcPr>
    </w:tblStylePr>
    <w:tblStylePr w:type="firstCol">
      <w:pPr>
        <w:jc w:val="center"/>
      </w:pPr>
      <w:rPr>
        <w:b w:val="0"/>
        <w:bCs/>
      </w:rPr>
    </w:tblStylePr>
    <w:tblStylePr w:type="lastCol">
      <w:rPr>
        <w:b w:val="0"/>
        <w:bCs/>
      </w:rPr>
    </w:tblStylePr>
    <w:tblStylePr w:type="band1Vert">
      <w:tblPr/>
      <w:tcPr>
        <w:shd w:val="clear" w:color="auto" w:fill="C5E4FA" w:themeFill="accent2" w:themeFillTint="33"/>
      </w:tcPr>
    </w:tblStylePr>
    <w:tblStylePr w:type="band1Horz">
      <w:tblPr/>
      <w:tcPr>
        <w:shd w:val="clear" w:color="auto" w:fill="C5E4FA" w:themeFill="accent2" w:themeFillTint="33"/>
      </w:tcPr>
    </w:tblStylePr>
  </w:style>
  <w:style w:type="table" w:styleId="ListTable4-Accent3">
    <w:name w:val="List Table 4 Accent 3"/>
    <w:basedOn w:val="TableNormal"/>
    <w:uiPriority w:val="49"/>
    <w:rsid w:val="00EF6164"/>
    <w:pPr>
      <w:spacing w:after="0" w:line="240" w:lineRule="auto"/>
      <w:jc w:val="center"/>
    </w:pPr>
    <w:rPr>
      <w:sz w:val="24"/>
      <w:szCs w:val="24"/>
    </w:r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tblBorders>
    </w:tblPr>
    <w:tcPr>
      <w:vAlign w:val="center"/>
    </w:tc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tcBorders>
        <w:shd w:val="clear" w:color="auto" w:fill="1DBECF" w:themeFill="accent3"/>
      </w:tcPr>
    </w:tblStylePr>
    <w:tblStylePr w:type="lastRow">
      <w:rPr>
        <w:b w:val="0"/>
        <w:bCs/>
      </w:rPr>
      <w:tblPr/>
      <w:tcPr>
        <w:tcBorders>
          <w:top w:val="double" w:sz="4" w:space="0" w:color="6EDEEA" w:themeColor="accent3" w:themeTint="99"/>
        </w:tcBorders>
      </w:tcPr>
    </w:tblStylePr>
    <w:tblStylePr w:type="firstCol">
      <w:rPr>
        <w:b w:val="0"/>
        <w:bCs/>
      </w:rPr>
    </w:tblStylePr>
    <w:tblStylePr w:type="lastCol">
      <w:rPr>
        <w:b w:val="0"/>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NoSpacing">
    <w:name w:val="No Spacing"/>
    <w:link w:val="NoSpacingChar"/>
    <w:uiPriority w:val="1"/>
    <w:qFormat/>
    <w:rsid w:val="00EF6164"/>
    <w:pPr>
      <w:spacing w:after="0" w:line="240" w:lineRule="auto"/>
    </w:pPr>
    <w:rPr>
      <w:rFonts w:eastAsiaTheme="minorEastAsia"/>
    </w:rPr>
  </w:style>
  <w:style w:type="character" w:customStyle="1" w:styleId="NoSpacingChar">
    <w:name w:val="No Spacing Char"/>
    <w:basedOn w:val="DefaultParagraphFont"/>
    <w:link w:val="NoSpacing"/>
    <w:uiPriority w:val="1"/>
    <w:rsid w:val="00EF6164"/>
    <w:rPr>
      <w:rFonts w:eastAsiaTheme="minorEastAsia"/>
    </w:rPr>
  </w:style>
  <w:style w:type="paragraph" w:styleId="Header">
    <w:name w:val="header"/>
    <w:basedOn w:val="Normal"/>
    <w:link w:val="HeaderChar"/>
    <w:uiPriority w:val="99"/>
    <w:unhideWhenUsed/>
    <w:rsid w:val="00EF6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164"/>
  </w:style>
  <w:style w:type="paragraph" w:styleId="Footer">
    <w:name w:val="footer"/>
    <w:basedOn w:val="Normal"/>
    <w:link w:val="FooterChar"/>
    <w:uiPriority w:val="99"/>
    <w:unhideWhenUsed/>
    <w:rsid w:val="00EF6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164"/>
  </w:style>
  <w:style w:type="character" w:customStyle="1" w:styleId="Heading1Char">
    <w:name w:val="Heading 1 Char"/>
    <w:basedOn w:val="DefaultParagraphFont"/>
    <w:link w:val="Heading1"/>
    <w:rsid w:val="009B01DF"/>
    <w:rPr>
      <w:rFonts w:asciiTheme="majorHAnsi" w:eastAsiaTheme="majorEastAsia" w:hAnsiTheme="majorHAnsi" w:cstheme="majorBidi"/>
      <w:color w:val="0F75BC" w:themeColor="accent2"/>
      <w:sz w:val="84"/>
      <w:szCs w:val="32"/>
    </w:rPr>
  </w:style>
  <w:style w:type="character" w:customStyle="1" w:styleId="Heading2Char">
    <w:name w:val="Heading 2 Char"/>
    <w:basedOn w:val="DefaultParagraphFont"/>
    <w:link w:val="Heading2"/>
    <w:rsid w:val="00CA6F3D"/>
    <w:rPr>
      <w:rFonts w:asciiTheme="majorHAnsi" w:eastAsiaTheme="majorEastAsia" w:hAnsiTheme="majorHAnsi" w:cstheme="majorBidi"/>
      <w:b/>
      <w:color w:val="0E5E67"/>
      <w:sz w:val="32"/>
      <w:szCs w:val="32"/>
    </w:rPr>
  </w:style>
  <w:style w:type="character" w:customStyle="1" w:styleId="Heading3Char">
    <w:name w:val="Heading 3 Char"/>
    <w:basedOn w:val="DefaultParagraphFont"/>
    <w:link w:val="Heading3"/>
    <w:rsid w:val="00DC0AB2"/>
    <w:rPr>
      <w:rFonts w:asciiTheme="majorHAnsi" w:eastAsiaTheme="majorEastAsia" w:hAnsiTheme="majorHAnsi" w:cstheme="majorBidi"/>
      <w:color w:val="46641E"/>
      <w:sz w:val="24"/>
      <w:szCs w:val="24"/>
    </w:rPr>
  </w:style>
  <w:style w:type="character" w:customStyle="1" w:styleId="Heading4Char">
    <w:name w:val="Heading 4 Char"/>
    <w:aliases w:val="Tables and Figures Char"/>
    <w:basedOn w:val="DefaultParagraphFont"/>
    <w:link w:val="Heading4"/>
    <w:rsid w:val="00EF6164"/>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uiPriority w:val="9"/>
    <w:semiHidden/>
    <w:rsid w:val="00EF6164"/>
    <w:rPr>
      <w:rFonts w:asciiTheme="majorHAnsi" w:eastAsiaTheme="majorEastAsia" w:hAnsiTheme="majorHAnsi" w:cstheme="majorBidi"/>
      <w:color w:val="68962C" w:themeColor="accent1" w:themeShade="BF"/>
    </w:rPr>
  </w:style>
  <w:style w:type="character" w:customStyle="1" w:styleId="Heading6Char">
    <w:name w:val="Heading 6 Char"/>
    <w:basedOn w:val="DefaultParagraphFont"/>
    <w:link w:val="Heading6"/>
    <w:uiPriority w:val="9"/>
    <w:semiHidden/>
    <w:rsid w:val="00EF6164"/>
    <w:rPr>
      <w:rFonts w:asciiTheme="majorHAnsi" w:eastAsiaTheme="majorEastAsia" w:hAnsiTheme="majorHAnsi" w:cstheme="majorBidi"/>
      <w:color w:val="45631D" w:themeColor="accent1" w:themeShade="7F"/>
    </w:rPr>
  </w:style>
  <w:style w:type="character" w:customStyle="1" w:styleId="Heading7Char">
    <w:name w:val="Heading 7 Char"/>
    <w:basedOn w:val="DefaultParagraphFont"/>
    <w:link w:val="Heading7"/>
    <w:uiPriority w:val="9"/>
    <w:semiHidden/>
    <w:rsid w:val="00EF6164"/>
    <w:rPr>
      <w:rFonts w:asciiTheme="majorHAnsi" w:eastAsiaTheme="majorEastAsia" w:hAnsiTheme="majorHAnsi" w:cstheme="majorBidi"/>
      <w:i/>
      <w:iCs/>
      <w:color w:val="45631D" w:themeColor="accent1" w:themeShade="7F"/>
    </w:rPr>
  </w:style>
  <w:style w:type="character" w:customStyle="1" w:styleId="Heading8Char">
    <w:name w:val="Heading 8 Char"/>
    <w:basedOn w:val="DefaultParagraphFont"/>
    <w:link w:val="Heading8"/>
    <w:uiPriority w:val="9"/>
    <w:semiHidden/>
    <w:rsid w:val="00EF616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164"/>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unhideWhenUsed/>
    <w:qFormat/>
    <w:rsid w:val="00EF6164"/>
    <w:pPr>
      <w:spacing w:after="200" w:line="240" w:lineRule="auto"/>
      <w:jc w:val="center"/>
    </w:pPr>
    <w:rPr>
      <w:b/>
      <w:i/>
      <w:iCs/>
      <w:color w:val="000000" w:themeColor="text1"/>
      <w:sz w:val="18"/>
      <w:szCs w:val="18"/>
    </w:rPr>
  </w:style>
  <w:style w:type="paragraph" w:styleId="BalloonText">
    <w:name w:val="Balloon Text"/>
    <w:basedOn w:val="Normal"/>
    <w:link w:val="BalloonTextChar"/>
    <w:uiPriority w:val="99"/>
    <w:semiHidden/>
    <w:unhideWhenUsed/>
    <w:rsid w:val="004904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4A2"/>
    <w:rPr>
      <w:rFonts w:ascii="Segoe UI" w:hAnsi="Segoe UI" w:cs="Segoe UI"/>
      <w:sz w:val="18"/>
      <w:szCs w:val="18"/>
    </w:rPr>
  </w:style>
  <w:style w:type="paragraph" w:styleId="TOC1">
    <w:name w:val="toc 1"/>
    <w:basedOn w:val="Normal"/>
    <w:next w:val="Normal"/>
    <w:autoRedefine/>
    <w:uiPriority w:val="39"/>
    <w:unhideWhenUsed/>
    <w:rsid w:val="004904A2"/>
    <w:pPr>
      <w:tabs>
        <w:tab w:val="left" w:pos="1620"/>
        <w:tab w:val="right" w:leader="dot" w:pos="9350"/>
      </w:tabs>
      <w:spacing w:after="100"/>
    </w:pPr>
    <w:rPr>
      <w:b/>
      <w:color w:val="0F75BC" w:themeColor="accent2"/>
      <w:sz w:val="32"/>
    </w:rPr>
  </w:style>
  <w:style w:type="paragraph" w:styleId="TOC2">
    <w:name w:val="toc 2"/>
    <w:basedOn w:val="Normal"/>
    <w:next w:val="Normal"/>
    <w:autoRedefine/>
    <w:uiPriority w:val="39"/>
    <w:unhideWhenUsed/>
    <w:rsid w:val="004904A2"/>
    <w:pPr>
      <w:spacing w:after="100"/>
      <w:ind w:left="220"/>
    </w:pPr>
    <w:rPr>
      <w:color w:val="46641E" w:themeColor="accent1" w:themeShade="80"/>
      <w:sz w:val="24"/>
    </w:rPr>
  </w:style>
  <w:style w:type="character" w:styleId="Hyperlink">
    <w:name w:val="Hyperlink"/>
    <w:basedOn w:val="DefaultParagraphFont"/>
    <w:uiPriority w:val="99"/>
    <w:unhideWhenUsed/>
    <w:rsid w:val="004904A2"/>
    <w:rPr>
      <w:color w:val="0563C1" w:themeColor="hyperlink"/>
      <w:u w:val="single"/>
    </w:rPr>
  </w:style>
  <w:style w:type="paragraph" w:styleId="CommentText">
    <w:name w:val="annotation text"/>
    <w:basedOn w:val="Normal"/>
    <w:link w:val="CommentTextChar"/>
    <w:uiPriority w:val="99"/>
    <w:unhideWhenUsed/>
    <w:rsid w:val="004904A2"/>
    <w:pPr>
      <w:spacing w:line="240" w:lineRule="auto"/>
    </w:pPr>
    <w:rPr>
      <w:sz w:val="20"/>
      <w:szCs w:val="20"/>
    </w:rPr>
  </w:style>
  <w:style w:type="character" w:customStyle="1" w:styleId="CommentTextChar">
    <w:name w:val="Comment Text Char"/>
    <w:basedOn w:val="DefaultParagraphFont"/>
    <w:link w:val="CommentText"/>
    <w:uiPriority w:val="99"/>
    <w:rsid w:val="004904A2"/>
    <w:rPr>
      <w:sz w:val="20"/>
      <w:szCs w:val="20"/>
    </w:rPr>
  </w:style>
  <w:style w:type="character" w:styleId="CommentReference">
    <w:name w:val="annotation reference"/>
    <w:basedOn w:val="DefaultParagraphFont"/>
    <w:uiPriority w:val="99"/>
    <w:semiHidden/>
    <w:unhideWhenUsed/>
    <w:rsid w:val="004904A2"/>
    <w:rPr>
      <w:sz w:val="16"/>
      <w:szCs w:val="16"/>
    </w:rPr>
  </w:style>
  <w:style w:type="paragraph" w:styleId="TableofFigures">
    <w:name w:val="table of figures"/>
    <w:basedOn w:val="Normal"/>
    <w:next w:val="Normal"/>
    <w:uiPriority w:val="99"/>
    <w:unhideWhenUsed/>
    <w:rsid w:val="004904A2"/>
    <w:pPr>
      <w:spacing w:after="0"/>
    </w:pPr>
  </w:style>
  <w:style w:type="paragraph" w:styleId="TOCHeading">
    <w:name w:val="TOC Heading"/>
    <w:basedOn w:val="Heading1"/>
    <w:next w:val="Normal"/>
    <w:uiPriority w:val="39"/>
    <w:unhideWhenUsed/>
    <w:qFormat/>
    <w:rsid w:val="00DC0AB2"/>
    <w:pPr>
      <w:numPr>
        <w:numId w:val="0"/>
      </w:numPr>
      <w:outlineLvl w:val="9"/>
    </w:pPr>
    <w:rPr>
      <w:color w:val="68962C" w:themeColor="accent1" w:themeShade="BF"/>
    </w:rPr>
  </w:style>
  <w:style w:type="paragraph" w:styleId="ListParagraph">
    <w:name w:val="List Paragraph"/>
    <w:basedOn w:val="Normal"/>
    <w:link w:val="ListParagraphChar"/>
    <w:uiPriority w:val="34"/>
    <w:qFormat/>
    <w:rsid w:val="00DC0AB2"/>
    <w:pPr>
      <w:ind w:left="720"/>
      <w:contextualSpacing/>
    </w:pPr>
  </w:style>
  <w:style w:type="table" w:styleId="TableGrid">
    <w:name w:val="Table Grid"/>
    <w:basedOn w:val="TableNormal"/>
    <w:rsid w:val="00DC0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C0AB2"/>
  </w:style>
  <w:style w:type="table" w:styleId="GridTable4-Accent5">
    <w:name w:val="Grid Table 4 Accent 5"/>
    <w:basedOn w:val="TableNormal"/>
    <w:uiPriority w:val="49"/>
    <w:rsid w:val="00DC0AB2"/>
    <w:pPr>
      <w:spacing w:after="0" w:line="240" w:lineRule="auto"/>
    </w:pPr>
    <w:tblPr>
      <w:tblStyleRowBandSize w:val="1"/>
      <w:tblStyleColBandSize w:val="1"/>
      <w:tblBorders>
        <w:top w:val="single" w:sz="4" w:space="0" w:color="FDBC79" w:themeColor="accent5" w:themeTint="99"/>
        <w:left w:val="single" w:sz="4" w:space="0" w:color="FDBC79" w:themeColor="accent5" w:themeTint="99"/>
        <w:bottom w:val="single" w:sz="4" w:space="0" w:color="FDBC79" w:themeColor="accent5" w:themeTint="99"/>
        <w:right w:val="single" w:sz="4" w:space="0" w:color="FDBC79" w:themeColor="accent5" w:themeTint="99"/>
        <w:insideH w:val="single" w:sz="4" w:space="0" w:color="FDBC79" w:themeColor="accent5" w:themeTint="99"/>
        <w:insideV w:val="single" w:sz="4" w:space="0" w:color="FDBC79" w:themeColor="accent5" w:themeTint="99"/>
      </w:tblBorders>
    </w:tblPr>
    <w:tblStylePr w:type="firstRow">
      <w:rPr>
        <w:b/>
        <w:bCs/>
        <w:color w:val="FFFFFF" w:themeColor="background1"/>
      </w:rPr>
      <w:tblPr/>
      <w:tcPr>
        <w:tcBorders>
          <w:top w:val="single" w:sz="4" w:space="0" w:color="FD9120" w:themeColor="accent5"/>
          <w:left w:val="single" w:sz="4" w:space="0" w:color="FD9120" w:themeColor="accent5"/>
          <w:bottom w:val="single" w:sz="4" w:space="0" w:color="FD9120" w:themeColor="accent5"/>
          <w:right w:val="single" w:sz="4" w:space="0" w:color="FD9120" w:themeColor="accent5"/>
          <w:insideH w:val="nil"/>
          <w:insideV w:val="nil"/>
        </w:tcBorders>
        <w:shd w:val="clear" w:color="auto" w:fill="FD9120" w:themeFill="accent5"/>
      </w:tcPr>
    </w:tblStylePr>
    <w:tblStylePr w:type="lastRow">
      <w:rPr>
        <w:b/>
        <w:bCs/>
      </w:rPr>
      <w:tblPr/>
      <w:tcPr>
        <w:tcBorders>
          <w:top w:val="double" w:sz="4" w:space="0" w:color="FD9120" w:themeColor="accent5"/>
        </w:tcBorders>
      </w:tcPr>
    </w:tblStylePr>
    <w:tblStylePr w:type="firstCol">
      <w:rPr>
        <w:b/>
        <w:bCs/>
      </w:rPr>
    </w:tblStylePr>
    <w:tblStylePr w:type="lastCol">
      <w:rPr>
        <w:b/>
        <w:bCs/>
      </w:rPr>
    </w:tblStylePr>
    <w:tblStylePr w:type="band1Vert">
      <w:tblPr/>
      <w:tcPr>
        <w:shd w:val="clear" w:color="auto" w:fill="FEE8D2" w:themeFill="accent5" w:themeFillTint="33"/>
      </w:tcPr>
    </w:tblStylePr>
    <w:tblStylePr w:type="band1Horz">
      <w:tblPr/>
      <w:tcPr>
        <w:shd w:val="clear" w:color="auto" w:fill="FEE8D2" w:themeFill="accent5" w:themeFillTint="33"/>
      </w:tcPr>
    </w:tblStylePr>
  </w:style>
  <w:style w:type="paragraph" w:styleId="TOC3">
    <w:name w:val="toc 3"/>
    <w:basedOn w:val="Normal"/>
    <w:next w:val="Normal"/>
    <w:autoRedefine/>
    <w:uiPriority w:val="39"/>
    <w:unhideWhenUsed/>
    <w:rsid w:val="00DC0AB2"/>
    <w:pPr>
      <w:spacing w:after="100"/>
      <w:ind w:left="440"/>
    </w:pPr>
  </w:style>
  <w:style w:type="paragraph" w:styleId="CommentSubject">
    <w:name w:val="annotation subject"/>
    <w:basedOn w:val="CommentText"/>
    <w:next w:val="CommentText"/>
    <w:link w:val="CommentSubjectChar"/>
    <w:uiPriority w:val="99"/>
    <w:semiHidden/>
    <w:unhideWhenUsed/>
    <w:rsid w:val="00AE0039"/>
    <w:rPr>
      <w:b/>
      <w:bCs/>
    </w:rPr>
  </w:style>
  <w:style w:type="character" w:customStyle="1" w:styleId="CommentSubjectChar">
    <w:name w:val="Comment Subject Char"/>
    <w:basedOn w:val="CommentTextChar"/>
    <w:link w:val="CommentSubject"/>
    <w:uiPriority w:val="99"/>
    <w:semiHidden/>
    <w:rsid w:val="00AE0039"/>
    <w:rPr>
      <w:b/>
      <w:bCs/>
      <w:sz w:val="20"/>
      <w:szCs w:val="20"/>
    </w:rPr>
  </w:style>
  <w:style w:type="table" w:styleId="GridTable4-Accent3">
    <w:name w:val="Grid Table 4 Accent 3"/>
    <w:basedOn w:val="TableNormal"/>
    <w:uiPriority w:val="49"/>
    <w:rsid w:val="008D0699"/>
    <w:pPr>
      <w:spacing w:after="0" w:line="240" w:lineRule="auto"/>
    </w:pPr>
    <w:tblPr>
      <w:tblStyleRowBandSize w:val="1"/>
      <w:tblStyleColBandSize w:val="1"/>
      <w:tblBorders>
        <w:top w:val="single" w:sz="4" w:space="0" w:color="6EDEEA" w:themeColor="accent3" w:themeTint="99"/>
        <w:left w:val="single" w:sz="4" w:space="0" w:color="6EDEEA" w:themeColor="accent3" w:themeTint="99"/>
        <w:bottom w:val="single" w:sz="4" w:space="0" w:color="6EDEEA" w:themeColor="accent3" w:themeTint="99"/>
        <w:right w:val="single" w:sz="4" w:space="0" w:color="6EDEEA" w:themeColor="accent3" w:themeTint="99"/>
        <w:insideH w:val="single" w:sz="4" w:space="0" w:color="6EDEEA" w:themeColor="accent3" w:themeTint="99"/>
        <w:insideV w:val="single" w:sz="4" w:space="0" w:color="6EDEEA" w:themeColor="accent3" w:themeTint="99"/>
      </w:tblBorders>
    </w:tblPr>
    <w:tblStylePr w:type="firstRow">
      <w:rPr>
        <w:b/>
        <w:bCs/>
        <w:color w:val="FFFFFF" w:themeColor="background1"/>
      </w:rPr>
      <w:tblPr/>
      <w:tcPr>
        <w:tcBorders>
          <w:top w:val="single" w:sz="4" w:space="0" w:color="1DBECF" w:themeColor="accent3"/>
          <w:left w:val="single" w:sz="4" w:space="0" w:color="1DBECF" w:themeColor="accent3"/>
          <w:bottom w:val="single" w:sz="4" w:space="0" w:color="1DBECF" w:themeColor="accent3"/>
          <w:right w:val="single" w:sz="4" w:space="0" w:color="1DBECF" w:themeColor="accent3"/>
          <w:insideH w:val="nil"/>
          <w:insideV w:val="nil"/>
        </w:tcBorders>
        <w:shd w:val="clear" w:color="auto" w:fill="1DBECF" w:themeFill="accent3"/>
      </w:tcPr>
    </w:tblStylePr>
    <w:tblStylePr w:type="lastRow">
      <w:rPr>
        <w:b/>
        <w:bCs/>
      </w:rPr>
      <w:tblPr/>
      <w:tcPr>
        <w:tcBorders>
          <w:top w:val="double" w:sz="4" w:space="0" w:color="1DBECF" w:themeColor="accent3"/>
        </w:tcBorders>
      </w:tcPr>
    </w:tblStylePr>
    <w:tblStylePr w:type="firstCol">
      <w:rPr>
        <w:b/>
        <w:bCs/>
      </w:rPr>
    </w:tblStylePr>
    <w:tblStylePr w:type="lastCol">
      <w:rPr>
        <w:b/>
        <w:bCs/>
      </w:rPr>
    </w:tblStylePr>
    <w:tblStylePr w:type="band1Vert">
      <w:tblPr/>
      <w:tcPr>
        <w:shd w:val="clear" w:color="auto" w:fill="CEF4F8" w:themeFill="accent3" w:themeFillTint="33"/>
      </w:tcPr>
    </w:tblStylePr>
    <w:tblStylePr w:type="band1Horz">
      <w:tblPr/>
      <w:tcPr>
        <w:shd w:val="clear" w:color="auto" w:fill="CEF4F8" w:themeFill="accent3" w:themeFillTint="33"/>
      </w:tcPr>
    </w:tblStylePr>
  </w:style>
  <w:style w:type="paragraph" w:styleId="FootnoteText">
    <w:name w:val="footnote text"/>
    <w:aliases w:val="ft"/>
    <w:basedOn w:val="Normal"/>
    <w:link w:val="FootnoteTextChar"/>
    <w:uiPriority w:val="99"/>
    <w:unhideWhenUsed/>
    <w:qFormat/>
    <w:rsid w:val="008D0699"/>
    <w:pPr>
      <w:spacing w:after="0" w:line="240" w:lineRule="auto"/>
    </w:pPr>
    <w:rPr>
      <w:sz w:val="20"/>
      <w:szCs w:val="20"/>
    </w:rPr>
  </w:style>
  <w:style w:type="character" w:customStyle="1" w:styleId="FootnoteTextChar">
    <w:name w:val="Footnote Text Char"/>
    <w:aliases w:val="ft Char"/>
    <w:basedOn w:val="DefaultParagraphFont"/>
    <w:link w:val="FootnoteText"/>
    <w:uiPriority w:val="99"/>
    <w:rsid w:val="008D0699"/>
    <w:rPr>
      <w:sz w:val="20"/>
      <w:szCs w:val="20"/>
    </w:rPr>
  </w:style>
  <w:style w:type="character" w:styleId="FootnoteReference">
    <w:name w:val="footnote reference"/>
    <w:aliases w:val="fr"/>
    <w:basedOn w:val="DefaultParagraphFont"/>
    <w:uiPriority w:val="99"/>
    <w:unhideWhenUsed/>
    <w:qFormat/>
    <w:rsid w:val="008D0699"/>
    <w:rPr>
      <w:vertAlign w:val="superscript"/>
    </w:rPr>
  </w:style>
  <w:style w:type="paragraph" w:styleId="Revision">
    <w:name w:val="Revision"/>
    <w:hidden/>
    <w:uiPriority w:val="99"/>
    <w:semiHidden/>
    <w:rsid w:val="001855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pe.hhs.gov/poverty-guideline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2045 Charlotte LRTP">
      <a:dk1>
        <a:sysClr val="windowText" lastClr="000000"/>
      </a:dk1>
      <a:lt1>
        <a:sysClr val="window" lastClr="FFFFFF"/>
      </a:lt1>
      <a:dk2>
        <a:srgbClr val="44546A"/>
      </a:dk2>
      <a:lt2>
        <a:srgbClr val="E7E6E6"/>
      </a:lt2>
      <a:accent1>
        <a:srgbClr val="8CC63F"/>
      </a:accent1>
      <a:accent2>
        <a:srgbClr val="0F75BC"/>
      </a:accent2>
      <a:accent3>
        <a:srgbClr val="1DBECF"/>
      </a:accent3>
      <a:accent4>
        <a:srgbClr val="FFDE16"/>
      </a:accent4>
      <a:accent5>
        <a:srgbClr val="FD9120"/>
      </a:accent5>
      <a:accent6>
        <a:srgbClr val="CBE3BB"/>
      </a:accent6>
      <a:hlink>
        <a:srgbClr val="0563C1"/>
      </a:hlink>
      <a:folHlink>
        <a:srgbClr val="954F72"/>
      </a:folHlink>
    </a:clrScheme>
    <a:fontScheme name="Tindale Oliver Style">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A1FE5-8957-4195-895D-18B035273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8</Pages>
  <Words>1676</Words>
  <Characters>10411</Characters>
  <Application>Microsoft Office Word</Application>
  <DocSecurity>0</DocSecurity>
  <Lines>221</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Miles</dc:creator>
  <cp:keywords/>
  <dc:description/>
  <cp:lastModifiedBy>Helene Miles</cp:lastModifiedBy>
  <cp:revision>10</cp:revision>
  <dcterms:created xsi:type="dcterms:W3CDTF">2020-12-09T18:58:00Z</dcterms:created>
  <dcterms:modified xsi:type="dcterms:W3CDTF">2020-12-30T19:41:00Z</dcterms:modified>
</cp:coreProperties>
</file>