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11936866"/>
        <w:docPartObj>
          <w:docPartGallery w:val="Cover Pages"/>
          <w:docPartUnique/>
        </w:docPartObj>
      </w:sdtPr>
      <w:sdtEndPr/>
      <w:sdtContent>
        <w:p w14:paraId="6316D272" w14:textId="77777777" w:rsidR="00EF6164" w:rsidRDefault="00EF6164"/>
        <w:p w14:paraId="7D944BD5" w14:textId="77777777" w:rsidR="004D03A4" w:rsidRDefault="004D03A4"/>
        <w:p w14:paraId="3D2E2436" w14:textId="77777777" w:rsidR="004D03A4" w:rsidRDefault="004D03A4"/>
        <w:p w14:paraId="2E3012F2" w14:textId="77777777" w:rsidR="0002620B" w:rsidRDefault="0002620B" w:rsidP="004D03A4">
          <w:pPr>
            <w:spacing w:after="0"/>
          </w:pPr>
        </w:p>
        <w:p w14:paraId="055393E7" w14:textId="77777777" w:rsidR="0002620B" w:rsidRDefault="0002620B" w:rsidP="004D03A4">
          <w:pPr>
            <w:spacing w:after="0"/>
          </w:pPr>
        </w:p>
        <w:p w14:paraId="725DAB0E" w14:textId="77777777" w:rsidR="0002620B" w:rsidRDefault="0002620B" w:rsidP="004D03A4">
          <w:pPr>
            <w:spacing w:after="0"/>
          </w:pPr>
        </w:p>
        <w:p w14:paraId="4A495A0C" w14:textId="77777777" w:rsidR="00DC0AB2" w:rsidRDefault="00DC0AB2" w:rsidP="004D03A4">
          <w:pPr>
            <w:spacing w:after="0"/>
            <w:rPr>
              <w:b/>
              <w:color w:val="0F75BC" w:themeColor="accent2"/>
              <w:sz w:val="56"/>
              <w:szCs w:val="56"/>
            </w:rPr>
          </w:pPr>
        </w:p>
        <w:p w14:paraId="4F52BC79" w14:textId="54206829" w:rsidR="004D03A4" w:rsidRPr="004E2D95" w:rsidRDefault="00FC18FE" w:rsidP="008B78FF">
          <w:pPr>
            <w:pStyle w:val="Heading1"/>
            <w:ind w:left="0" w:firstLine="0"/>
          </w:pPr>
          <w:r w:rsidRPr="004E2D95">
            <w:br/>
          </w:r>
          <w:bookmarkStart w:id="0" w:name="_Toc59589968"/>
          <w:bookmarkStart w:id="1" w:name="_Toc54886271"/>
          <w:r w:rsidR="008B78FF">
            <w:t xml:space="preserve">Plan </w:t>
          </w:r>
          <w:r w:rsidR="008B78FF">
            <w:br/>
            <w:t>Implementation</w:t>
          </w:r>
          <w:bookmarkEnd w:id="0"/>
          <w:r w:rsidR="008E685D">
            <w:t xml:space="preserve"> </w:t>
          </w:r>
          <w:bookmarkEnd w:id="1"/>
        </w:p>
        <w:p w14:paraId="5427E452" w14:textId="77777777" w:rsidR="00DC0AB2" w:rsidRPr="004E2D95" w:rsidRDefault="00DC0AB2">
          <w:pPr>
            <w:rPr>
              <w:sz w:val="84"/>
              <w:szCs w:val="84"/>
            </w:rPr>
            <w:sectPr w:rsidR="00DC0AB2" w:rsidRPr="004E2D95" w:rsidSect="004D03A4">
              <w:headerReference w:type="default" r:id="rId8"/>
              <w:footerReference w:type="default" r:id="rId9"/>
              <w:headerReference w:type="first" r:id="rId10"/>
              <w:pgSz w:w="12240" w:h="15840"/>
              <w:pgMar w:top="1800" w:right="1440" w:bottom="1440" w:left="1440" w:header="720" w:footer="720" w:gutter="0"/>
              <w:pgNumType w:fmt="lowerRoman" w:start="0"/>
              <w:cols w:space="720"/>
              <w:titlePg/>
              <w:docGrid w:linePitch="360"/>
            </w:sectPr>
          </w:pPr>
        </w:p>
        <w:p w14:paraId="3415512A" w14:textId="5805089A" w:rsidR="004D03A4" w:rsidRDefault="007E67B9"/>
      </w:sdtContent>
    </w:sdt>
    <w:p w14:paraId="36733E48" w14:textId="77777777" w:rsidR="004904A2" w:rsidRDefault="004904A2" w:rsidP="004904A2">
      <w:r>
        <w:br w:type="page"/>
      </w:r>
    </w:p>
    <w:p w14:paraId="141E736F" w14:textId="6BA7A607" w:rsidR="00EF6164" w:rsidRDefault="00191D9B" w:rsidP="00430399">
      <w:pPr>
        <w:pStyle w:val="Heading2"/>
      </w:pPr>
      <w:bookmarkStart w:id="2" w:name="_Toc59589969"/>
      <w:r>
        <w:lastRenderedPageBreak/>
        <w:t>Key Highlights</w:t>
      </w:r>
      <w:bookmarkEnd w:id="2"/>
    </w:p>
    <w:p w14:paraId="71683570" w14:textId="77777777" w:rsidR="00191D9B" w:rsidRDefault="00191D9B" w:rsidP="00191D9B">
      <w:r>
        <w:t>The following are some of the key outcomes resulting from the 2045 LRTP development and analysis.</w:t>
      </w:r>
    </w:p>
    <w:p w14:paraId="45D6FB21" w14:textId="77777777" w:rsidR="00191D9B" w:rsidRPr="00866592" w:rsidRDefault="00191D9B" w:rsidP="00191D9B">
      <w:pPr>
        <w:pStyle w:val="ListParagraph"/>
        <w:numPr>
          <w:ilvl w:val="0"/>
          <w:numId w:val="6"/>
        </w:numPr>
      </w:pPr>
      <w:r w:rsidRPr="00D04333">
        <w:t xml:space="preserve">The population in Charlotte County is projected to increase from </w:t>
      </w:r>
      <w:r>
        <w:t>165,550</w:t>
      </w:r>
      <w:r w:rsidRPr="00D04333">
        <w:t xml:space="preserve"> in 2015 to more than </w:t>
      </w:r>
      <w:r w:rsidRPr="00866592">
        <w:t>260,000 in 2045, an increase of more than 57%.</w:t>
      </w:r>
    </w:p>
    <w:p w14:paraId="636CFB20" w14:textId="77777777" w:rsidR="00191D9B" w:rsidRPr="00D04333" w:rsidRDefault="00191D9B" w:rsidP="00191D9B">
      <w:pPr>
        <w:pStyle w:val="ListParagraph"/>
        <w:numPr>
          <w:ilvl w:val="0"/>
          <w:numId w:val="6"/>
        </w:numPr>
      </w:pPr>
      <w:r w:rsidRPr="00D04333">
        <w:t xml:space="preserve">Employment is </w:t>
      </w:r>
      <w:r>
        <w:t xml:space="preserve">also </w:t>
      </w:r>
      <w:r w:rsidRPr="00D04333">
        <w:t xml:space="preserve">expected </w:t>
      </w:r>
      <w:r>
        <w:t>to more than double over the same time period. While service sector jobs will experience the largest amount of growth, jobs in the office and professional services sector are expected to grow at the highest rate.</w:t>
      </w:r>
    </w:p>
    <w:p w14:paraId="66EAE82B" w14:textId="77777777" w:rsidR="00191D9B" w:rsidRPr="00D04333" w:rsidRDefault="00191D9B" w:rsidP="00191D9B">
      <w:pPr>
        <w:pStyle w:val="ListParagraph"/>
        <w:numPr>
          <w:ilvl w:val="0"/>
          <w:numId w:val="6"/>
        </w:numPr>
      </w:pPr>
      <w:r w:rsidRPr="00D04333">
        <w:t xml:space="preserve">More than </w:t>
      </w:r>
      <w:r>
        <w:t>800</w:t>
      </w:r>
      <w:r w:rsidRPr="00D04333">
        <w:t xml:space="preserve"> citizens participated in the development of the Route to 2045 LRTP through stakeholder interviews, workshop groups, vi</w:t>
      </w:r>
      <w:r>
        <w:t>rt</w:t>
      </w:r>
      <w:r w:rsidRPr="00D04333">
        <w:t>ual forums, MPO committee and Board meetings, surveys</w:t>
      </w:r>
      <w:r>
        <w:t>, and an interactive web map</w:t>
      </w:r>
      <w:r w:rsidRPr="00D04333">
        <w:t>.</w:t>
      </w:r>
    </w:p>
    <w:p w14:paraId="5CD9A8E3" w14:textId="77777777" w:rsidR="00191D9B" w:rsidRPr="00D04333" w:rsidRDefault="00191D9B" w:rsidP="00191D9B">
      <w:pPr>
        <w:pStyle w:val="ListParagraph"/>
        <w:numPr>
          <w:ilvl w:val="0"/>
          <w:numId w:val="6"/>
        </w:numPr>
      </w:pPr>
      <w:r w:rsidRPr="00D04333">
        <w:t>The 2045 LRTP reflects a $</w:t>
      </w:r>
      <w:r>
        <w:t>1.3 billion</w:t>
      </w:r>
      <w:r w:rsidRPr="00D04333">
        <w:t xml:space="preserve"> (in year of-expenditure dollars) transportation program from 2021 to 2045. When compared to the total cost of the 2040 Long Range Transportation Plan (adopted in 2015), the 2045 Plan represents </w:t>
      </w:r>
      <w:r w:rsidRPr="0032236A">
        <w:t>an increase of 45%</w:t>
      </w:r>
      <w:r w:rsidRPr="00D04333">
        <w:t xml:space="preserve">, primarily due to </w:t>
      </w:r>
      <w:r>
        <w:t>increased</w:t>
      </w:r>
      <w:r w:rsidRPr="00D04333">
        <w:t xml:space="preserve"> revenues from </w:t>
      </w:r>
      <w:r>
        <w:t>locally generated transportation revenues.</w:t>
      </w:r>
    </w:p>
    <w:p w14:paraId="2531028E" w14:textId="7CF5A6C9" w:rsidR="00191D9B" w:rsidRPr="00D04333" w:rsidRDefault="00191D9B" w:rsidP="00191D9B">
      <w:pPr>
        <w:pStyle w:val="ListParagraph"/>
        <w:numPr>
          <w:ilvl w:val="0"/>
          <w:numId w:val="6"/>
        </w:numPr>
      </w:pPr>
      <w:r w:rsidRPr="00D04333">
        <w:t>An estimated $</w:t>
      </w:r>
      <w:r>
        <w:t>766 million</w:t>
      </w:r>
      <w:r w:rsidRPr="00D04333">
        <w:t xml:space="preserve"> of the </w:t>
      </w:r>
      <w:r w:rsidRPr="0032236A">
        <w:t>$1.3 billion</w:t>
      </w:r>
      <w:r w:rsidRPr="00D04333">
        <w:t xml:space="preserve"> </w:t>
      </w:r>
      <w:r w:rsidR="0098546D">
        <w:t xml:space="preserve">in revenues </w:t>
      </w:r>
      <w:r w:rsidRPr="00D04333">
        <w:t xml:space="preserve">comes from local funding sources. </w:t>
      </w:r>
    </w:p>
    <w:p w14:paraId="643BBF40" w14:textId="77777777" w:rsidR="00191D9B" w:rsidRPr="00D04333" w:rsidRDefault="00191D9B" w:rsidP="00191D9B">
      <w:pPr>
        <w:pStyle w:val="ListParagraph"/>
        <w:numPr>
          <w:ilvl w:val="0"/>
          <w:numId w:val="6"/>
        </w:numPr>
      </w:pPr>
      <w:r w:rsidRPr="00D04333">
        <w:t xml:space="preserve">Nearly all of the transit needs identified for Charlotte County are funded in the Cost Feasible Plan. </w:t>
      </w:r>
      <w:r w:rsidRPr="0084421E">
        <w:t>Two</w:t>
      </w:r>
      <w:r w:rsidRPr="00D04333">
        <w:t xml:space="preserve"> exceptions include (1) Express Service </w:t>
      </w:r>
      <w:r>
        <w:t>between the Englewood Library and the Port Charlotte Town Center</w:t>
      </w:r>
      <w:r w:rsidRPr="00D04333">
        <w:t xml:space="preserve">, and (2) </w:t>
      </w:r>
      <w:r>
        <w:t>a Beach Circulator providing service between Englewood Beach and the Englewood Library.</w:t>
      </w:r>
    </w:p>
    <w:p w14:paraId="711F012B" w14:textId="4AE5B972" w:rsidR="00191D9B" w:rsidRDefault="00191D9B" w:rsidP="00191D9B">
      <w:pPr>
        <w:pStyle w:val="Heading2"/>
      </w:pPr>
      <w:bookmarkStart w:id="3" w:name="_Toc59589970"/>
      <w:r>
        <w:t>Key Actions</w:t>
      </w:r>
      <w:bookmarkEnd w:id="3"/>
    </w:p>
    <w:p w14:paraId="29DED721" w14:textId="3933D04F" w:rsidR="00191D9B" w:rsidRDefault="00191D9B" w:rsidP="00191D9B">
      <w:r>
        <w:t>The 2045 LRTP identifies the transportation investments that are possible for Charlotte County in support of the vision and Goals that have been adopted. Over the next five years, the MPO and its planning partners will work together to implement and advance the projects listed in the LRTP. Successful implementation will rely on the support and partnership of the City of Punta Gorda, Charlotte County, the Charlotte County Airport Authority, FDOT District 1, neighboring MPO’s and the public.</w:t>
      </w:r>
    </w:p>
    <w:p w14:paraId="64891A80" w14:textId="7B58BDDF" w:rsidR="00191D9B" w:rsidRDefault="00191D9B" w:rsidP="00191D9B">
      <w:r>
        <w:t>In addition to prioritizing funding for specific priority projects for construction, key implementation actions for advancing the vision of the 2045 LRTP include the following activities:</w:t>
      </w:r>
    </w:p>
    <w:p w14:paraId="018A3216" w14:textId="2A6DF7B5" w:rsidR="009226AC" w:rsidRDefault="009226AC" w:rsidP="00191D9B">
      <w:pPr>
        <w:pStyle w:val="ListParagraph"/>
        <w:numPr>
          <w:ilvl w:val="0"/>
          <w:numId w:val="9"/>
        </w:numPr>
      </w:pPr>
      <w:r>
        <w:rPr>
          <w:b/>
          <w:bCs/>
        </w:rPr>
        <w:t>Financial Feasibility</w:t>
      </w:r>
      <w:r>
        <w:t>: With impacts to current transportation revenues resulting from the COVID-19 pandemic, the MPO in partnership with FDOT should continue to monitor decreased revenue projections and the impact that has on project delivery.</w:t>
      </w:r>
    </w:p>
    <w:p w14:paraId="7B9506B8" w14:textId="13CB3946" w:rsidR="00155D2D" w:rsidRPr="009226AC" w:rsidRDefault="00191D9B" w:rsidP="00191D9B">
      <w:pPr>
        <w:pStyle w:val="ListParagraph"/>
        <w:numPr>
          <w:ilvl w:val="0"/>
          <w:numId w:val="9"/>
        </w:numPr>
      </w:pPr>
      <w:r w:rsidRPr="009226AC">
        <w:rPr>
          <w:b/>
          <w:bCs/>
        </w:rPr>
        <w:t>SR 776 corridor Study:</w:t>
      </w:r>
      <w:r w:rsidRPr="009226AC">
        <w:t xml:space="preserve"> </w:t>
      </w:r>
      <w:r w:rsidR="009226AC">
        <w:t>C</w:t>
      </w:r>
      <w:r w:rsidRPr="009226AC">
        <w:t>oordinate with FDOT on developing a corridor study and priority locations for multi-modal transportation improvements</w:t>
      </w:r>
      <w:r w:rsidR="00155D2D" w:rsidRPr="009226AC">
        <w:t xml:space="preserve"> to address the needs of the public.</w:t>
      </w:r>
    </w:p>
    <w:p w14:paraId="0BB108F6" w14:textId="1C7889D1" w:rsidR="00155D2D" w:rsidRPr="009226AC" w:rsidRDefault="00191D9B" w:rsidP="00191D9B">
      <w:pPr>
        <w:pStyle w:val="ListParagraph"/>
        <w:numPr>
          <w:ilvl w:val="0"/>
          <w:numId w:val="9"/>
        </w:numPr>
        <w:rPr>
          <w:b/>
          <w:bCs/>
        </w:rPr>
      </w:pPr>
      <w:r w:rsidRPr="009226AC">
        <w:rPr>
          <w:b/>
          <w:bCs/>
        </w:rPr>
        <w:t>Growth in South County and future interchange</w:t>
      </w:r>
      <w:r w:rsidR="00155D2D" w:rsidRPr="009226AC">
        <w:rPr>
          <w:b/>
          <w:bCs/>
        </w:rPr>
        <w:t xml:space="preserve"> potential</w:t>
      </w:r>
      <w:r w:rsidR="00155D2D" w:rsidRPr="009226AC">
        <w:t xml:space="preserve">: </w:t>
      </w:r>
      <w:r w:rsidR="009226AC" w:rsidRPr="009226AC">
        <w:t>C</w:t>
      </w:r>
      <w:r w:rsidR="00155D2D" w:rsidRPr="009226AC">
        <w:t>ontinued analysis and review of transportation needs through coordination with the Lee County MPO regarding feasible options for providing regional connections.</w:t>
      </w:r>
    </w:p>
    <w:p w14:paraId="0E217715" w14:textId="7D15B1F3" w:rsidR="00155D2D" w:rsidRPr="009226AC" w:rsidRDefault="00191D9B" w:rsidP="00191D9B">
      <w:pPr>
        <w:pStyle w:val="ListParagraph"/>
        <w:numPr>
          <w:ilvl w:val="0"/>
          <w:numId w:val="9"/>
        </w:numPr>
      </w:pPr>
      <w:r w:rsidRPr="009226AC">
        <w:rPr>
          <w:b/>
          <w:bCs/>
        </w:rPr>
        <w:lastRenderedPageBreak/>
        <w:t>North Port interchange</w:t>
      </w:r>
      <w:r w:rsidR="00155D2D" w:rsidRPr="009226AC">
        <w:t>: Coordination with FDOT and the Sarasota/Manatee MPO on the timing and potential for a new connection between Charlotte and Sarasota counties and the potential for a</w:t>
      </w:r>
      <w:r w:rsidR="0098546D">
        <w:t xml:space="preserve"> </w:t>
      </w:r>
      <w:r w:rsidR="00155D2D" w:rsidRPr="009226AC">
        <w:t>n</w:t>
      </w:r>
      <w:r w:rsidR="0098546D">
        <w:t>ew</w:t>
      </w:r>
      <w:r w:rsidR="00155D2D" w:rsidRPr="009226AC">
        <w:t xml:space="preserve"> I-75 interchange.</w:t>
      </w:r>
    </w:p>
    <w:p w14:paraId="1029EC67" w14:textId="121C3D88" w:rsidR="00155D2D" w:rsidRPr="009226AC" w:rsidRDefault="00155D2D" w:rsidP="00191D9B">
      <w:pPr>
        <w:pStyle w:val="ListParagraph"/>
        <w:numPr>
          <w:ilvl w:val="0"/>
          <w:numId w:val="9"/>
        </w:numPr>
      </w:pPr>
      <w:r w:rsidRPr="009226AC">
        <w:rPr>
          <w:b/>
          <w:bCs/>
        </w:rPr>
        <w:t>ATMS Master Plan</w:t>
      </w:r>
      <w:r w:rsidRPr="009226AC">
        <w:t xml:space="preserve">: </w:t>
      </w:r>
      <w:r w:rsidR="009226AC">
        <w:t>W</w:t>
      </w:r>
      <w:r w:rsidRPr="009226AC">
        <w:t xml:space="preserve">ith the master plan funded for study in the next fiscal year, the MPO should prioritize the </w:t>
      </w:r>
      <w:r w:rsidR="009226AC" w:rsidRPr="009226AC">
        <w:t>$30 million in future funding for construction in the upcoming Transportation Improvement Program to reduce delays in implementation.</w:t>
      </w:r>
    </w:p>
    <w:p w14:paraId="7D3A4D90" w14:textId="63B47381" w:rsidR="00155D2D" w:rsidRPr="009226AC" w:rsidRDefault="00155D2D" w:rsidP="00191D9B">
      <w:pPr>
        <w:pStyle w:val="ListParagraph"/>
        <w:numPr>
          <w:ilvl w:val="0"/>
          <w:numId w:val="9"/>
        </w:numPr>
      </w:pPr>
      <w:r w:rsidRPr="009226AC">
        <w:rPr>
          <w:b/>
          <w:bCs/>
        </w:rPr>
        <w:t>US 41 Corridor Vision Plan</w:t>
      </w:r>
      <w:r w:rsidRPr="009226AC">
        <w:t>: The LRTP has set aside $</w:t>
      </w:r>
      <w:r w:rsidR="009226AC" w:rsidRPr="009226AC">
        <w:t>3</w:t>
      </w:r>
      <w:r w:rsidRPr="009226AC">
        <w:t>0 million in future funding for implementation of strategies identified through this vision plan. The MPO and FDOT should partner to identify priority locations for improvements.</w:t>
      </w:r>
    </w:p>
    <w:p w14:paraId="1742D2E8" w14:textId="6A53BCA4" w:rsidR="00155D2D" w:rsidRPr="009226AC" w:rsidRDefault="00155D2D" w:rsidP="00191D9B">
      <w:pPr>
        <w:pStyle w:val="ListParagraph"/>
        <w:numPr>
          <w:ilvl w:val="0"/>
          <w:numId w:val="9"/>
        </w:numPr>
      </w:pPr>
      <w:r w:rsidRPr="009226AC">
        <w:rPr>
          <w:b/>
          <w:bCs/>
        </w:rPr>
        <w:t>Future Comprehensive Plan Updates and Population Projections</w:t>
      </w:r>
      <w:r w:rsidRPr="009226AC">
        <w:t xml:space="preserve">: The MPO in partnership with Charlotte County should continue the independent analysis of population growth previously conducted by </w:t>
      </w:r>
      <w:r w:rsidR="006F53D7">
        <w:t xml:space="preserve">Western </w:t>
      </w:r>
      <w:r w:rsidRPr="009226AC">
        <w:t>Michigan University to better understand impacts of Babcock Ranch on historic trends. Based on the neighborhood constraints in an</w:t>
      </w:r>
      <w:r w:rsidR="001A4976">
        <w:t>d</w:t>
      </w:r>
      <w:r w:rsidRPr="009226AC">
        <w:t xml:space="preserve"> around Punta Gorda, the MPO should work with City staff to identify constrained roadway</w:t>
      </w:r>
      <w:r w:rsidR="0098546D">
        <w:t xml:space="preserve">s </w:t>
      </w:r>
      <w:r w:rsidRPr="009226AC">
        <w:t>for the next LRTP update.</w:t>
      </w:r>
    </w:p>
    <w:p w14:paraId="3DD68048" w14:textId="04FCE9D3" w:rsidR="00191D9B" w:rsidRDefault="00191D9B" w:rsidP="00191D9B">
      <w:pPr>
        <w:pStyle w:val="ListParagraph"/>
        <w:numPr>
          <w:ilvl w:val="0"/>
          <w:numId w:val="9"/>
        </w:numPr>
      </w:pPr>
      <w:r w:rsidRPr="009226AC">
        <w:rPr>
          <w:b/>
          <w:bCs/>
        </w:rPr>
        <w:t>M</w:t>
      </w:r>
      <w:r w:rsidR="002E521D">
        <w:rPr>
          <w:b/>
          <w:bCs/>
        </w:rPr>
        <w:t>-</w:t>
      </w:r>
      <w:r w:rsidRPr="009226AC">
        <w:rPr>
          <w:b/>
          <w:bCs/>
        </w:rPr>
        <w:t>CORES</w:t>
      </w:r>
      <w:r w:rsidR="00155D2D" w:rsidRPr="009226AC">
        <w:t>:</w:t>
      </w:r>
      <w:r w:rsidRPr="009226AC">
        <w:t xml:space="preserve"> </w:t>
      </w:r>
      <w:r w:rsidR="009226AC" w:rsidRPr="009226AC">
        <w:t xml:space="preserve">As plans are finalized for the Southwest-Central Florida Connector, the MPO should focus on the priority connecting east-to-west with I-75 along CR 74. As a heavily traveled freight route, future demand and needs for CR 74 could be significantly different </w:t>
      </w:r>
      <w:r w:rsidR="001A4976">
        <w:t>as</w:t>
      </w:r>
      <w:r w:rsidR="009226AC" w:rsidRPr="009226AC">
        <w:t xml:space="preserve"> the M</w:t>
      </w:r>
      <w:r w:rsidR="002E521D">
        <w:t>-</w:t>
      </w:r>
      <w:r w:rsidR="009226AC" w:rsidRPr="009226AC">
        <w:t>CORES program continues to be developed.</w:t>
      </w:r>
    </w:p>
    <w:p w14:paraId="757F2054" w14:textId="7902FEAB" w:rsidR="009226AC" w:rsidRPr="009226AC" w:rsidRDefault="009226AC" w:rsidP="00191D9B">
      <w:pPr>
        <w:pStyle w:val="ListParagraph"/>
        <w:numPr>
          <w:ilvl w:val="0"/>
          <w:numId w:val="9"/>
        </w:numPr>
      </w:pPr>
      <w:r>
        <w:rPr>
          <w:b/>
          <w:bCs/>
        </w:rPr>
        <w:t>Technology</w:t>
      </w:r>
      <w:r>
        <w:t>: As transportation technology continues to advance, the MPO should continue to become informed on the potential benefits of Connected and Autonomous Vehicles. Understanding the types of technology improvements will aid the MPO in directing funding for priority projects.</w:t>
      </w:r>
    </w:p>
    <w:p w14:paraId="3C46DE44" w14:textId="5C221817" w:rsidR="00430399" w:rsidRPr="008E685D" w:rsidRDefault="00191D9B" w:rsidP="00191D9B">
      <w:pPr>
        <w:pStyle w:val="Heading2"/>
      </w:pPr>
      <w:bookmarkStart w:id="4" w:name="_Toc59589971"/>
      <w:bookmarkStart w:id="5" w:name="_Toc22806854"/>
      <w:r>
        <w:t>LRTP Amendment Process</w:t>
      </w:r>
      <w:bookmarkEnd w:id="4"/>
    </w:p>
    <w:p w14:paraId="6C20A15A" w14:textId="06428F0E" w:rsidR="0098546D" w:rsidRDefault="00DA3450" w:rsidP="00430399">
      <w:r>
        <w:t xml:space="preserve">In addition to the five-year update cycle for revising the assumptions and </w:t>
      </w:r>
      <w:r w:rsidR="0098546D">
        <w:t>cost feasibility of the LRTP, the MPO has the ability to process amendments to the 2045 LRTP. Consistent with the Federal Regulations (23 CFR 450.104), guidance provided by FDOT and the MPO’s Public Participation Plan, there are two ways in which the LRTP can be updated.</w:t>
      </w:r>
    </w:p>
    <w:p w14:paraId="7C5E8D8F" w14:textId="60D94665" w:rsidR="0098546D" w:rsidRDefault="0098546D" w:rsidP="0098546D">
      <w:pPr>
        <w:pStyle w:val="ListParagraph"/>
        <w:numPr>
          <w:ilvl w:val="0"/>
          <w:numId w:val="10"/>
        </w:numPr>
      </w:pPr>
      <w:r>
        <w:t xml:space="preserve">An </w:t>
      </w:r>
      <w:r w:rsidRPr="0098546D">
        <w:rPr>
          <w:b/>
          <w:bCs/>
        </w:rPr>
        <w:t>administrative modification</w:t>
      </w:r>
      <w:r>
        <w:t xml:space="preserve"> is a minor revision to the LRTP that includes minor changes to project/project phase costs, minor changes to funding sources of previously included projects, and minor changes to project/project phase initiation dates. An administrative modification is a revision that does not require public review and comment, or a redemonstration of fiscal constraint</w:t>
      </w:r>
    </w:p>
    <w:p w14:paraId="69D38CE3" w14:textId="1CB4C39E" w:rsidR="0098546D" w:rsidRDefault="0098546D" w:rsidP="0098546D">
      <w:pPr>
        <w:pStyle w:val="ListParagraph"/>
        <w:numPr>
          <w:ilvl w:val="0"/>
          <w:numId w:val="10"/>
        </w:numPr>
      </w:pPr>
      <w:r>
        <w:t xml:space="preserve">An </w:t>
      </w:r>
      <w:r w:rsidRPr="0098546D">
        <w:rPr>
          <w:b/>
          <w:bCs/>
        </w:rPr>
        <w:t>amendment</w:t>
      </w:r>
      <w:r>
        <w:t xml:space="preserve"> means a revision to the LRTP that involves a major change to a project including:</w:t>
      </w:r>
    </w:p>
    <w:p w14:paraId="71941365" w14:textId="67C01BCF" w:rsidR="0098546D" w:rsidRDefault="0098546D" w:rsidP="0098546D">
      <w:pPr>
        <w:pStyle w:val="ListParagraph"/>
        <w:numPr>
          <w:ilvl w:val="1"/>
          <w:numId w:val="10"/>
        </w:numPr>
      </w:pPr>
      <w:r>
        <w:t xml:space="preserve">the addition or deletion of a project </w:t>
      </w:r>
    </w:p>
    <w:p w14:paraId="56C77E97" w14:textId="7660EC59" w:rsidR="0098546D" w:rsidRDefault="0098546D" w:rsidP="0098546D">
      <w:pPr>
        <w:pStyle w:val="ListParagraph"/>
        <w:numPr>
          <w:ilvl w:val="1"/>
          <w:numId w:val="10"/>
        </w:numPr>
      </w:pPr>
      <w:r>
        <w:t xml:space="preserve">a major change in project cost, project phase initiation dates </w:t>
      </w:r>
    </w:p>
    <w:p w14:paraId="2BB7AC33" w14:textId="77777777" w:rsidR="0098546D" w:rsidRDefault="0098546D" w:rsidP="0098546D">
      <w:pPr>
        <w:pStyle w:val="ListParagraph"/>
        <w:numPr>
          <w:ilvl w:val="1"/>
          <w:numId w:val="10"/>
        </w:numPr>
      </w:pPr>
      <w:r>
        <w:t xml:space="preserve">a major change in design concept or design scope </w:t>
      </w:r>
    </w:p>
    <w:p w14:paraId="0A6E8AC1" w14:textId="6A5A6860" w:rsidR="0098546D" w:rsidRDefault="0098546D" w:rsidP="0098546D">
      <w:pPr>
        <w:pStyle w:val="ListParagraph"/>
        <w:numPr>
          <w:ilvl w:val="0"/>
          <w:numId w:val="10"/>
        </w:numPr>
      </w:pPr>
      <w:r>
        <w:t xml:space="preserve">Changes to projects that are included only for illustrative purposes do not require an amendment. An amendment is a revision that requires public review and comment and a redemonstration of fiscal constraint. </w:t>
      </w:r>
    </w:p>
    <w:bookmarkEnd w:id="5"/>
    <w:sectPr w:rsidR="0098546D" w:rsidSect="00FE4B56">
      <w:headerReference w:type="default" r:id="rId11"/>
      <w:footerReference w:type="default" r:id="rId12"/>
      <w:type w:val="continuous"/>
      <w:pgSz w:w="12240" w:h="15840" w:code="1"/>
      <w:pgMar w:top="1800" w:right="1440" w:bottom="1152" w:left="1440"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AB48" w14:textId="77777777" w:rsidR="00DC0AB2" w:rsidRDefault="00DC0AB2" w:rsidP="00EF6164">
      <w:pPr>
        <w:spacing w:after="0" w:line="240" w:lineRule="auto"/>
      </w:pPr>
      <w:r>
        <w:separator/>
      </w:r>
    </w:p>
  </w:endnote>
  <w:endnote w:type="continuationSeparator" w:id="0">
    <w:p w14:paraId="73ACE3FE" w14:textId="77777777" w:rsidR="00DC0AB2" w:rsidRDefault="00DC0AB2" w:rsidP="00EF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Source Sans Pro Semibold">
    <w:altName w:val="Source Sans Pro SemiBold"/>
    <w:panose1 w:val="020B06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7D69" w14:textId="1184080E" w:rsidR="00DC0AB2" w:rsidRPr="00EF6164" w:rsidRDefault="00DC0AB2">
    <w:pPr>
      <w:pStyle w:val="Footer"/>
    </w:pPr>
    <w:r w:rsidRPr="00EF6164">
      <w:rPr>
        <w:b/>
      </w:rPr>
      <w:t>2045 Long Range Transportation Plan |</w:t>
    </w:r>
    <w:r>
      <w:t xml:space="preserve"> </w:t>
    </w:r>
    <w:r w:rsidRPr="00EF6164">
      <w:rPr>
        <w:i/>
      </w:rPr>
      <w:t>Title of Report</w:t>
    </w:r>
    <w:r>
      <w:rPr>
        <w:i/>
      </w:rP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3022" w14:textId="03D9F4CF" w:rsidR="00DC0AB2" w:rsidRPr="00EF6164" w:rsidRDefault="00DC0AB2" w:rsidP="004D03A4">
    <w:pPr>
      <w:pStyle w:val="Footer"/>
      <w:tabs>
        <w:tab w:val="right" w:pos="14400"/>
        <w:tab w:val="right" w:pos="20160"/>
      </w:tabs>
    </w:pPr>
    <w:r>
      <w:rPr>
        <w:b/>
        <w:noProof/>
      </w:rPr>
      <mc:AlternateContent>
        <mc:Choice Requires="wps">
          <w:drawing>
            <wp:anchor distT="0" distB="0" distL="114300" distR="114300" simplePos="0" relativeHeight="251671552" behindDoc="1" locked="0" layoutInCell="1" allowOverlap="1" wp14:anchorId="2AC7A859" wp14:editId="7CE5A8A7">
              <wp:simplePos x="0" y="0"/>
              <wp:positionH relativeFrom="page">
                <wp:posOffset>0</wp:posOffset>
              </wp:positionH>
              <wp:positionV relativeFrom="paragraph">
                <wp:posOffset>-60960</wp:posOffset>
              </wp:positionV>
              <wp:extent cx="15544800" cy="301716"/>
              <wp:effectExtent l="0" t="0" r="0" b="317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544800" cy="30171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C93BC" id="Rectangle 13" o:spid="_x0000_s1026" alt="&quot;&quot;" style="position:absolute;margin-left:0;margin-top:-4.8pt;width:17in;height:23.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" fillcolor="#d8d8d8 [2732]" stroked="f" strokeweight="1pt">
              <w10:wrap anchorx="page"/>
            </v:rect>
          </w:pict>
        </mc:Fallback>
      </mc:AlternateContent>
    </w:r>
    <w:r w:rsidRPr="00EF6164">
      <w:rPr>
        <w:b/>
      </w:rPr>
      <w:t>2045 Long Range Transportation Plan |</w:t>
    </w:r>
    <w:r w:rsidR="004E2D95">
      <w:t xml:space="preserve"> </w:t>
    </w:r>
    <w:r w:rsidR="00431E1A">
      <w:t xml:space="preserve">Summary and </w:t>
    </w:r>
    <w:r w:rsidR="004E2D95">
      <w:t>Next Steps</w:t>
    </w:r>
    <w:r>
      <w:rPr>
        <w:i/>
      </w:rP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A3172" w14:textId="77777777" w:rsidR="00DC0AB2" w:rsidRDefault="00DC0AB2" w:rsidP="00EF6164">
      <w:pPr>
        <w:spacing w:after="0" w:line="240" w:lineRule="auto"/>
      </w:pPr>
      <w:r>
        <w:separator/>
      </w:r>
    </w:p>
  </w:footnote>
  <w:footnote w:type="continuationSeparator" w:id="0">
    <w:p w14:paraId="3F0CCBD3" w14:textId="77777777" w:rsidR="00DC0AB2" w:rsidRDefault="00DC0AB2" w:rsidP="00EF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6872" w14:textId="1135BE75" w:rsidR="00DC0AB2" w:rsidRPr="00EF6164" w:rsidRDefault="00DC0AB2" w:rsidP="00EF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4E3B" w14:textId="25AE39B0" w:rsidR="00DC0AB2" w:rsidRDefault="00B4773B">
    <w:pPr>
      <w:pStyle w:val="Header"/>
    </w:pPr>
    <w:r>
      <w:rPr>
        <w:noProof/>
      </w:rPr>
      <w:drawing>
        <wp:anchor distT="0" distB="0" distL="114300" distR="114300" simplePos="0" relativeHeight="251678720" behindDoc="1" locked="0" layoutInCell="1" allowOverlap="1" wp14:anchorId="27E7E749" wp14:editId="5B485DF7">
          <wp:simplePos x="0" y="0"/>
          <wp:positionH relativeFrom="column">
            <wp:posOffset>-914400</wp:posOffset>
          </wp:positionH>
          <wp:positionV relativeFrom="paragraph">
            <wp:posOffset>-449893</wp:posOffset>
          </wp:positionV>
          <wp:extent cx="7772362" cy="10058400"/>
          <wp:effectExtent l="0" t="0" r="635"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362"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0BD7" w14:textId="74F1F9DB" w:rsidR="00DC0AB2" w:rsidRPr="00EF6164" w:rsidRDefault="00FC18FE" w:rsidP="00EF6164">
    <w:pPr>
      <w:pStyle w:val="Header"/>
    </w:pPr>
    <w:r>
      <w:rPr>
        <w:noProof/>
      </w:rPr>
      <w:drawing>
        <wp:anchor distT="0" distB="0" distL="114300" distR="114300" simplePos="0" relativeHeight="251676672" behindDoc="1" locked="0" layoutInCell="1" allowOverlap="1" wp14:anchorId="020B439E" wp14:editId="0249BEB3">
          <wp:simplePos x="0" y="0"/>
          <wp:positionH relativeFrom="column">
            <wp:posOffset>-914400</wp:posOffset>
          </wp:positionH>
          <wp:positionV relativeFrom="paragraph">
            <wp:posOffset>-446567</wp:posOffset>
          </wp:positionV>
          <wp:extent cx="7772400" cy="105156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51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0A5"/>
    <w:multiLevelType w:val="hybridMultilevel"/>
    <w:tmpl w:val="D3C84288"/>
    <w:lvl w:ilvl="0" w:tplc="86BA0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3B82"/>
    <w:multiLevelType w:val="hybridMultilevel"/>
    <w:tmpl w:val="35F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56B0B"/>
    <w:multiLevelType w:val="hybridMultilevel"/>
    <w:tmpl w:val="C4D4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E7634"/>
    <w:multiLevelType w:val="hybridMultilevel"/>
    <w:tmpl w:val="876244A0"/>
    <w:lvl w:ilvl="0" w:tplc="FCCE2C08">
      <w:numFmt w:val="bullet"/>
      <w:lvlText w:val="-"/>
      <w:lvlJc w:val="left"/>
      <w:pPr>
        <w:ind w:left="360" w:hanging="360"/>
      </w:pPr>
      <w:rPr>
        <w:rFonts w:ascii="Source Sans Pro" w:eastAsiaTheme="minorHAnsi" w:hAnsi="Source Sans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F9777F"/>
    <w:multiLevelType w:val="hybridMultilevel"/>
    <w:tmpl w:val="41E4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D0FEB"/>
    <w:multiLevelType w:val="hybridMultilevel"/>
    <w:tmpl w:val="DFA2F7A6"/>
    <w:lvl w:ilvl="0" w:tplc="04090001">
      <w:start w:val="1"/>
      <w:numFmt w:val="bullet"/>
      <w:lvlText w:val=""/>
      <w:lvlJc w:val="left"/>
      <w:pPr>
        <w:ind w:left="720" w:hanging="360"/>
      </w:pPr>
      <w:rPr>
        <w:rFonts w:ascii="Symbol" w:hAnsi="Symbol" w:hint="default"/>
      </w:rPr>
    </w:lvl>
    <w:lvl w:ilvl="1" w:tplc="5840F3CC">
      <w:numFmt w:val="bullet"/>
      <w:lvlText w:val="•"/>
      <w:lvlJc w:val="left"/>
      <w:pPr>
        <w:ind w:left="1710" w:hanging="630"/>
      </w:pPr>
      <w:rPr>
        <w:rFonts w:ascii="Source Sans Pro" w:eastAsiaTheme="minorHAnsi" w:hAnsi="Source Sans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678E7"/>
    <w:multiLevelType w:val="multilevel"/>
    <w:tmpl w:val="05E21792"/>
    <w:lvl w:ilvl="0">
      <w:start w:val="10"/>
      <w:numFmt w:val="decimal"/>
      <w:pStyle w:val="Heading1"/>
      <w:suff w:val="space"/>
      <w:lvlText w:val="Chapter %1:"/>
      <w:lvlJc w:val="left"/>
      <w:pPr>
        <w:ind w:left="432" w:hanging="432"/>
      </w:pPr>
      <w:rPr>
        <w:rFonts w:hint="default"/>
        <w:color w:val="0F75BC" w:themeColor="accent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268395A"/>
    <w:multiLevelType w:val="hybridMultilevel"/>
    <w:tmpl w:val="F91A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97C73"/>
    <w:multiLevelType w:val="hybridMultilevel"/>
    <w:tmpl w:val="3AC4F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6"/>
  </w:num>
  <w:num w:numId="5">
    <w:abstractNumId w:val="2"/>
  </w:num>
  <w:num w:numId="6">
    <w:abstractNumId w:val="4"/>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A2"/>
    <w:rsid w:val="00016266"/>
    <w:rsid w:val="00023A6A"/>
    <w:rsid w:val="0002620B"/>
    <w:rsid w:val="0005707E"/>
    <w:rsid w:val="000D2557"/>
    <w:rsid w:val="000F5F9D"/>
    <w:rsid w:val="00117A7D"/>
    <w:rsid w:val="00155D2D"/>
    <w:rsid w:val="00191D9B"/>
    <w:rsid w:val="001A4976"/>
    <w:rsid w:val="001C083C"/>
    <w:rsid w:val="001C173C"/>
    <w:rsid w:val="0021332D"/>
    <w:rsid w:val="00221A78"/>
    <w:rsid w:val="00275227"/>
    <w:rsid w:val="002E521D"/>
    <w:rsid w:val="002F50DD"/>
    <w:rsid w:val="0032236A"/>
    <w:rsid w:val="00326A13"/>
    <w:rsid w:val="00355441"/>
    <w:rsid w:val="0039108B"/>
    <w:rsid w:val="003B6DD9"/>
    <w:rsid w:val="003E74E0"/>
    <w:rsid w:val="00400CC4"/>
    <w:rsid w:val="0041486E"/>
    <w:rsid w:val="00430399"/>
    <w:rsid w:val="00431E1A"/>
    <w:rsid w:val="004523D2"/>
    <w:rsid w:val="004639E3"/>
    <w:rsid w:val="00487597"/>
    <w:rsid w:val="004904A2"/>
    <w:rsid w:val="004C7761"/>
    <w:rsid w:val="004D03A4"/>
    <w:rsid w:val="004E2CD9"/>
    <w:rsid w:val="004E2D95"/>
    <w:rsid w:val="005563B8"/>
    <w:rsid w:val="005801A4"/>
    <w:rsid w:val="00597616"/>
    <w:rsid w:val="005A324B"/>
    <w:rsid w:val="005B2A56"/>
    <w:rsid w:val="005F0A3E"/>
    <w:rsid w:val="00606FCF"/>
    <w:rsid w:val="00653D00"/>
    <w:rsid w:val="006729C5"/>
    <w:rsid w:val="00675E8A"/>
    <w:rsid w:val="00685D99"/>
    <w:rsid w:val="006A7CE3"/>
    <w:rsid w:val="006E37A6"/>
    <w:rsid w:val="006F53D7"/>
    <w:rsid w:val="00723527"/>
    <w:rsid w:val="00747FE4"/>
    <w:rsid w:val="00762FA8"/>
    <w:rsid w:val="00765359"/>
    <w:rsid w:val="0077098C"/>
    <w:rsid w:val="0077130A"/>
    <w:rsid w:val="007E2DD5"/>
    <w:rsid w:val="007E67B9"/>
    <w:rsid w:val="007F19F2"/>
    <w:rsid w:val="007F2040"/>
    <w:rsid w:val="008111B5"/>
    <w:rsid w:val="00814CAE"/>
    <w:rsid w:val="0084421E"/>
    <w:rsid w:val="00866592"/>
    <w:rsid w:val="008A02D1"/>
    <w:rsid w:val="008B78FF"/>
    <w:rsid w:val="008C7E69"/>
    <w:rsid w:val="008E04A5"/>
    <w:rsid w:val="008E362F"/>
    <w:rsid w:val="008E685D"/>
    <w:rsid w:val="008F238D"/>
    <w:rsid w:val="009226AC"/>
    <w:rsid w:val="009362E1"/>
    <w:rsid w:val="00960837"/>
    <w:rsid w:val="0098546D"/>
    <w:rsid w:val="009B4125"/>
    <w:rsid w:val="009C3D78"/>
    <w:rsid w:val="009D144A"/>
    <w:rsid w:val="009D4605"/>
    <w:rsid w:val="009F0710"/>
    <w:rsid w:val="009F665C"/>
    <w:rsid w:val="00A35773"/>
    <w:rsid w:val="00A763E9"/>
    <w:rsid w:val="00AB2079"/>
    <w:rsid w:val="00AB63C4"/>
    <w:rsid w:val="00AB647F"/>
    <w:rsid w:val="00AC0DC2"/>
    <w:rsid w:val="00B3135B"/>
    <w:rsid w:val="00B4773B"/>
    <w:rsid w:val="00B51B54"/>
    <w:rsid w:val="00B6103B"/>
    <w:rsid w:val="00B728F5"/>
    <w:rsid w:val="00BA43C3"/>
    <w:rsid w:val="00BA50AB"/>
    <w:rsid w:val="00BB0CE3"/>
    <w:rsid w:val="00BD2014"/>
    <w:rsid w:val="00BD3472"/>
    <w:rsid w:val="00C073B5"/>
    <w:rsid w:val="00C12991"/>
    <w:rsid w:val="00C12F69"/>
    <w:rsid w:val="00C446EE"/>
    <w:rsid w:val="00C64CBC"/>
    <w:rsid w:val="00C975E8"/>
    <w:rsid w:val="00CE2EBA"/>
    <w:rsid w:val="00CE4B4C"/>
    <w:rsid w:val="00D04333"/>
    <w:rsid w:val="00D069F9"/>
    <w:rsid w:val="00D80FB5"/>
    <w:rsid w:val="00DA3450"/>
    <w:rsid w:val="00DC0AB2"/>
    <w:rsid w:val="00DE1EE8"/>
    <w:rsid w:val="00DE6CF8"/>
    <w:rsid w:val="00DF14E1"/>
    <w:rsid w:val="00E02355"/>
    <w:rsid w:val="00E3434E"/>
    <w:rsid w:val="00E871EC"/>
    <w:rsid w:val="00EC428A"/>
    <w:rsid w:val="00EF372E"/>
    <w:rsid w:val="00EF6164"/>
    <w:rsid w:val="00F050C6"/>
    <w:rsid w:val="00F16CBA"/>
    <w:rsid w:val="00F46BD6"/>
    <w:rsid w:val="00F64333"/>
    <w:rsid w:val="00FB2DB3"/>
    <w:rsid w:val="00FC0FF0"/>
    <w:rsid w:val="00FC18FE"/>
    <w:rsid w:val="00FE44CC"/>
    <w:rsid w:val="00FE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962BAB"/>
  <w15:chartTrackingRefBased/>
  <w15:docId w15:val="{C6E32492-70EE-46C3-8D28-ABB25F53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362F"/>
    <w:pPr>
      <w:keepNext/>
      <w:keepLines/>
      <w:numPr>
        <w:numId w:val="1"/>
      </w:numPr>
      <w:spacing w:before="240" w:after="0"/>
      <w:outlineLvl w:val="0"/>
    </w:pPr>
    <w:rPr>
      <w:rFonts w:asciiTheme="majorHAnsi" w:eastAsiaTheme="majorEastAsia" w:hAnsiTheme="majorHAnsi" w:cstheme="majorBidi"/>
      <w:color w:val="0F75BC" w:themeColor="accent2"/>
      <w:sz w:val="84"/>
      <w:szCs w:val="32"/>
    </w:rPr>
  </w:style>
  <w:style w:type="paragraph" w:styleId="Heading2">
    <w:name w:val="heading 2"/>
    <w:basedOn w:val="Normal"/>
    <w:next w:val="Normal"/>
    <w:link w:val="Heading2Char"/>
    <w:unhideWhenUsed/>
    <w:qFormat/>
    <w:rsid w:val="00430399"/>
    <w:pPr>
      <w:keepNext/>
      <w:keepLines/>
      <w:numPr>
        <w:ilvl w:val="1"/>
        <w:numId w:val="1"/>
      </w:numPr>
      <w:spacing w:before="40" w:after="240"/>
      <w:outlineLvl w:val="1"/>
    </w:pPr>
    <w:rPr>
      <w:rFonts w:asciiTheme="majorHAnsi" w:eastAsiaTheme="majorEastAsia" w:hAnsiTheme="majorHAnsi" w:cstheme="majorBidi"/>
      <w:b/>
      <w:bCs/>
      <w:color w:val="0E5E67"/>
      <w:sz w:val="32"/>
      <w:szCs w:val="32"/>
    </w:rPr>
  </w:style>
  <w:style w:type="paragraph" w:styleId="Heading3">
    <w:name w:val="heading 3"/>
    <w:basedOn w:val="Normal"/>
    <w:next w:val="Normal"/>
    <w:link w:val="Heading3Char"/>
    <w:unhideWhenUsed/>
    <w:qFormat/>
    <w:rsid w:val="008E685D"/>
    <w:pPr>
      <w:keepNext/>
      <w:keepLines/>
      <w:numPr>
        <w:ilvl w:val="2"/>
        <w:numId w:val="1"/>
      </w:numPr>
      <w:spacing w:before="40" w:after="0"/>
      <w:outlineLvl w:val="2"/>
    </w:pPr>
    <w:rPr>
      <w:rFonts w:asciiTheme="majorHAnsi" w:eastAsiaTheme="majorEastAsia" w:hAnsiTheme="majorHAnsi" w:cstheme="majorBidi"/>
      <w:color w:val="46641E"/>
      <w:sz w:val="24"/>
      <w:szCs w:val="24"/>
    </w:rPr>
  </w:style>
  <w:style w:type="paragraph" w:styleId="Heading4">
    <w:name w:val="heading 4"/>
    <w:aliases w:val="Tables and Figures"/>
    <w:basedOn w:val="Normal"/>
    <w:next w:val="Normal"/>
    <w:link w:val="Heading4Char"/>
    <w:unhideWhenUsed/>
    <w:qFormat/>
    <w:rsid w:val="00EF6164"/>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EF6164"/>
    <w:pPr>
      <w:keepNext/>
      <w:keepLines/>
      <w:numPr>
        <w:ilvl w:val="4"/>
        <w:numId w:val="1"/>
      </w:numPr>
      <w:spacing w:before="40" w:after="0"/>
      <w:outlineLvl w:val="4"/>
    </w:pPr>
    <w:rPr>
      <w:rFonts w:asciiTheme="majorHAnsi" w:eastAsiaTheme="majorEastAsia" w:hAnsiTheme="majorHAnsi" w:cstheme="majorBidi"/>
      <w:color w:val="68962C" w:themeColor="accent1" w:themeShade="BF"/>
    </w:rPr>
  </w:style>
  <w:style w:type="paragraph" w:styleId="Heading6">
    <w:name w:val="heading 6"/>
    <w:basedOn w:val="Normal"/>
    <w:next w:val="Normal"/>
    <w:link w:val="Heading6Char"/>
    <w:uiPriority w:val="9"/>
    <w:semiHidden/>
    <w:unhideWhenUsed/>
    <w:qFormat/>
    <w:rsid w:val="00EF6164"/>
    <w:pPr>
      <w:keepNext/>
      <w:keepLines/>
      <w:numPr>
        <w:ilvl w:val="5"/>
        <w:numId w:val="1"/>
      </w:numPr>
      <w:spacing w:before="40" w:after="0"/>
      <w:outlineLvl w:val="5"/>
    </w:pPr>
    <w:rPr>
      <w:rFonts w:asciiTheme="majorHAnsi" w:eastAsiaTheme="majorEastAsia" w:hAnsiTheme="majorHAnsi" w:cstheme="majorBidi"/>
      <w:color w:val="45631D" w:themeColor="accent1" w:themeShade="7F"/>
    </w:rPr>
  </w:style>
  <w:style w:type="paragraph" w:styleId="Heading7">
    <w:name w:val="heading 7"/>
    <w:basedOn w:val="Normal"/>
    <w:next w:val="Normal"/>
    <w:link w:val="Heading7Char"/>
    <w:uiPriority w:val="9"/>
    <w:semiHidden/>
    <w:unhideWhenUsed/>
    <w:qFormat/>
    <w:rsid w:val="00EF6164"/>
    <w:pPr>
      <w:keepNext/>
      <w:keepLines/>
      <w:numPr>
        <w:ilvl w:val="6"/>
        <w:numId w:val="1"/>
      </w:numPr>
      <w:spacing w:before="40" w:after="0"/>
      <w:outlineLvl w:val="6"/>
    </w:pPr>
    <w:rPr>
      <w:rFonts w:asciiTheme="majorHAnsi" w:eastAsiaTheme="majorEastAsia" w:hAnsiTheme="majorHAnsi" w:cstheme="majorBidi"/>
      <w:i/>
      <w:iCs/>
      <w:color w:val="45631D" w:themeColor="accent1" w:themeShade="7F"/>
    </w:rPr>
  </w:style>
  <w:style w:type="paragraph" w:styleId="Heading8">
    <w:name w:val="heading 8"/>
    <w:basedOn w:val="Normal"/>
    <w:next w:val="Normal"/>
    <w:link w:val="Heading8Char"/>
    <w:uiPriority w:val="9"/>
    <w:semiHidden/>
    <w:unhideWhenUsed/>
    <w:qFormat/>
    <w:rsid w:val="00EF616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F616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basedOn w:val="TableNormal"/>
    <w:uiPriority w:val="49"/>
    <w:rsid w:val="00F16CBA"/>
    <w:pPr>
      <w:spacing w:after="0" w:line="240" w:lineRule="auto"/>
      <w:jc w:val="center"/>
    </w:pPr>
    <w:tblPr>
      <w:tblStyleRowBandSize w:val="1"/>
      <w:tblStyleColBandSize w:val="1"/>
      <w:tblBorders>
        <w:top w:val="single" w:sz="4" w:space="0" w:color="54B0F1" w:themeColor="accent2" w:themeTint="99"/>
        <w:left w:val="single" w:sz="4" w:space="0" w:color="54B0F1" w:themeColor="accent2" w:themeTint="99"/>
        <w:bottom w:val="single" w:sz="4" w:space="0" w:color="54B0F1" w:themeColor="accent2" w:themeTint="99"/>
        <w:right w:val="single" w:sz="4" w:space="0" w:color="54B0F1" w:themeColor="accent2" w:themeTint="99"/>
        <w:insideH w:val="single" w:sz="4" w:space="0" w:color="54B0F1" w:themeColor="accent2" w:themeTint="99"/>
      </w:tblBorders>
    </w:tblPr>
    <w:tcPr>
      <w:vAlign w:val="center"/>
    </w:tcPr>
    <w:tblStylePr w:type="firstRow">
      <w:rPr>
        <w:b/>
        <w:bCs/>
        <w:color w:val="FFFFFF" w:themeColor="background1"/>
      </w:rPr>
      <w:tblPr/>
      <w:tcPr>
        <w:tcBorders>
          <w:top w:val="single" w:sz="4" w:space="0" w:color="0F75BC" w:themeColor="accent2"/>
          <w:left w:val="single" w:sz="4" w:space="0" w:color="0F75BC" w:themeColor="accent2"/>
          <w:bottom w:val="single" w:sz="4" w:space="0" w:color="0F75BC" w:themeColor="accent2"/>
          <w:right w:val="single" w:sz="4" w:space="0" w:color="0F75BC" w:themeColor="accent2"/>
          <w:insideH w:val="nil"/>
        </w:tcBorders>
        <w:shd w:val="clear" w:color="auto" w:fill="0F75BC" w:themeFill="accent2"/>
      </w:tcPr>
    </w:tblStylePr>
    <w:tblStylePr w:type="lastRow">
      <w:rPr>
        <w:b w:val="0"/>
        <w:bCs/>
      </w:rPr>
      <w:tblPr/>
      <w:tcPr>
        <w:tcBorders>
          <w:top w:val="double" w:sz="4" w:space="0" w:color="54B0F1" w:themeColor="accent2" w:themeTint="99"/>
        </w:tcBorders>
      </w:tcPr>
    </w:tblStylePr>
    <w:tblStylePr w:type="firstCol">
      <w:pPr>
        <w:jc w:val="center"/>
      </w:pPr>
      <w:rPr>
        <w:b w:val="0"/>
        <w:bCs/>
      </w:rPr>
    </w:tblStylePr>
    <w:tblStylePr w:type="lastCol">
      <w:rPr>
        <w:b w:val="0"/>
        <w:bCs/>
      </w:rPr>
    </w:tblStylePr>
    <w:tblStylePr w:type="band1Vert">
      <w:tblPr/>
      <w:tcPr>
        <w:shd w:val="clear" w:color="auto" w:fill="C5E4FA" w:themeFill="accent2" w:themeFillTint="33"/>
      </w:tcPr>
    </w:tblStylePr>
    <w:tblStylePr w:type="band1Horz">
      <w:tblPr/>
      <w:tcPr>
        <w:shd w:val="clear" w:color="auto" w:fill="C5E4FA" w:themeFill="accent2" w:themeFillTint="33"/>
      </w:tcPr>
    </w:tblStylePr>
  </w:style>
  <w:style w:type="table" w:styleId="ListTable4-Accent3">
    <w:name w:val="List Table 4 Accent 3"/>
    <w:basedOn w:val="TableNormal"/>
    <w:uiPriority w:val="49"/>
    <w:rsid w:val="00EF6164"/>
    <w:pPr>
      <w:spacing w:after="0" w:line="240" w:lineRule="auto"/>
      <w:jc w:val="center"/>
    </w:pPr>
    <w:rPr>
      <w:sz w:val="24"/>
      <w:szCs w:val="24"/>
    </w:rPr>
    <w:tblPr>
      <w:tblStyleRowBandSize w:val="1"/>
      <w:tblStyleColBandSize w:val="1"/>
      <w:tblBorders>
        <w:top w:val="single" w:sz="4" w:space="0" w:color="6EDEEA" w:themeColor="accent3" w:themeTint="99"/>
        <w:left w:val="single" w:sz="4" w:space="0" w:color="6EDEEA" w:themeColor="accent3" w:themeTint="99"/>
        <w:bottom w:val="single" w:sz="4" w:space="0" w:color="6EDEEA" w:themeColor="accent3" w:themeTint="99"/>
        <w:right w:val="single" w:sz="4" w:space="0" w:color="6EDEEA" w:themeColor="accent3" w:themeTint="99"/>
        <w:insideH w:val="single" w:sz="4" w:space="0" w:color="6EDEEA" w:themeColor="accent3" w:themeTint="99"/>
      </w:tblBorders>
    </w:tblPr>
    <w:tcPr>
      <w:vAlign w:val="center"/>
    </w:tcPr>
    <w:tblStylePr w:type="firstRow">
      <w:rPr>
        <w:b/>
        <w:bCs/>
        <w:color w:val="FFFFFF" w:themeColor="background1"/>
      </w:rPr>
      <w:tblPr/>
      <w:tcPr>
        <w:tcBorders>
          <w:top w:val="single" w:sz="4" w:space="0" w:color="1DBECF" w:themeColor="accent3"/>
          <w:left w:val="single" w:sz="4" w:space="0" w:color="1DBECF" w:themeColor="accent3"/>
          <w:bottom w:val="single" w:sz="4" w:space="0" w:color="1DBECF" w:themeColor="accent3"/>
          <w:right w:val="single" w:sz="4" w:space="0" w:color="1DBECF" w:themeColor="accent3"/>
          <w:insideH w:val="nil"/>
        </w:tcBorders>
        <w:shd w:val="clear" w:color="auto" w:fill="1DBECF" w:themeFill="accent3"/>
      </w:tcPr>
    </w:tblStylePr>
    <w:tblStylePr w:type="lastRow">
      <w:rPr>
        <w:b w:val="0"/>
        <w:bCs/>
      </w:rPr>
      <w:tblPr/>
      <w:tcPr>
        <w:tcBorders>
          <w:top w:val="double" w:sz="4" w:space="0" w:color="6EDEEA" w:themeColor="accent3" w:themeTint="99"/>
        </w:tcBorders>
      </w:tcPr>
    </w:tblStylePr>
    <w:tblStylePr w:type="firstCol">
      <w:rPr>
        <w:b w:val="0"/>
        <w:bCs/>
      </w:rPr>
    </w:tblStylePr>
    <w:tblStylePr w:type="lastCol">
      <w:rPr>
        <w:b w:val="0"/>
        <w:bCs/>
      </w:rPr>
    </w:tblStylePr>
    <w:tblStylePr w:type="band1Vert">
      <w:tblPr/>
      <w:tcPr>
        <w:shd w:val="clear" w:color="auto" w:fill="CEF4F8" w:themeFill="accent3" w:themeFillTint="33"/>
      </w:tcPr>
    </w:tblStylePr>
    <w:tblStylePr w:type="band1Horz">
      <w:tblPr/>
      <w:tcPr>
        <w:shd w:val="clear" w:color="auto" w:fill="CEF4F8" w:themeFill="accent3" w:themeFillTint="33"/>
      </w:tcPr>
    </w:tblStylePr>
  </w:style>
  <w:style w:type="paragraph" w:styleId="NoSpacing">
    <w:name w:val="No Spacing"/>
    <w:link w:val="NoSpacingChar"/>
    <w:uiPriority w:val="1"/>
    <w:qFormat/>
    <w:rsid w:val="00EF6164"/>
    <w:pPr>
      <w:spacing w:after="0" w:line="240" w:lineRule="auto"/>
    </w:pPr>
    <w:rPr>
      <w:rFonts w:eastAsiaTheme="minorEastAsia"/>
    </w:rPr>
  </w:style>
  <w:style w:type="character" w:customStyle="1" w:styleId="NoSpacingChar">
    <w:name w:val="No Spacing Char"/>
    <w:basedOn w:val="DefaultParagraphFont"/>
    <w:link w:val="NoSpacing"/>
    <w:uiPriority w:val="1"/>
    <w:rsid w:val="00EF6164"/>
    <w:rPr>
      <w:rFonts w:eastAsiaTheme="minorEastAsia"/>
    </w:rPr>
  </w:style>
  <w:style w:type="paragraph" w:styleId="Header">
    <w:name w:val="header"/>
    <w:basedOn w:val="Normal"/>
    <w:link w:val="HeaderChar"/>
    <w:uiPriority w:val="99"/>
    <w:unhideWhenUsed/>
    <w:rsid w:val="00EF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64"/>
  </w:style>
  <w:style w:type="paragraph" w:styleId="Footer">
    <w:name w:val="footer"/>
    <w:basedOn w:val="Normal"/>
    <w:link w:val="FooterChar"/>
    <w:uiPriority w:val="99"/>
    <w:unhideWhenUsed/>
    <w:rsid w:val="00EF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64"/>
  </w:style>
  <w:style w:type="character" w:customStyle="1" w:styleId="Heading1Char">
    <w:name w:val="Heading 1 Char"/>
    <w:basedOn w:val="DefaultParagraphFont"/>
    <w:link w:val="Heading1"/>
    <w:rsid w:val="008E362F"/>
    <w:rPr>
      <w:rFonts w:asciiTheme="majorHAnsi" w:eastAsiaTheme="majorEastAsia" w:hAnsiTheme="majorHAnsi" w:cstheme="majorBidi"/>
      <w:color w:val="0F75BC" w:themeColor="accent2"/>
      <w:sz w:val="84"/>
      <w:szCs w:val="32"/>
    </w:rPr>
  </w:style>
  <w:style w:type="character" w:customStyle="1" w:styleId="Heading2Char">
    <w:name w:val="Heading 2 Char"/>
    <w:basedOn w:val="DefaultParagraphFont"/>
    <w:link w:val="Heading2"/>
    <w:rsid w:val="00430399"/>
    <w:rPr>
      <w:rFonts w:asciiTheme="majorHAnsi" w:eastAsiaTheme="majorEastAsia" w:hAnsiTheme="majorHAnsi" w:cstheme="majorBidi"/>
      <w:b/>
      <w:bCs/>
      <w:color w:val="0E5E67"/>
      <w:sz w:val="32"/>
      <w:szCs w:val="32"/>
    </w:rPr>
  </w:style>
  <w:style w:type="character" w:customStyle="1" w:styleId="Heading3Char">
    <w:name w:val="Heading 3 Char"/>
    <w:basedOn w:val="DefaultParagraphFont"/>
    <w:link w:val="Heading3"/>
    <w:rsid w:val="008E685D"/>
    <w:rPr>
      <w:rFonts w:asciiTheme="majorHAnsi" w:eastAsiaTheme="majorEastAsia" w:hAnsiTheme="majorHAnsi" w:cstheme="majorBidi"/>
      <w:color w:val="46641E"/>
      <w:sz w:val="24"/>
      <w:szCs w:val="24"/>
    </w:rPr>
  </w:style>
  <w:style w:type="character" w:customStyle="1" w:styleId="Heading4Char">
    <w:name w:val="Heading 4 Char"/>
    <w:aliases w:val="Tables and Figures Char"/>
    <w:basedOn w:val="DefaultParagraphFont"/>
    <w:link w:val="Heading4"/>
    <w:uiPriority w:val="9"/>
    <w:rsid w:val="00EF6164"/>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semiHidden/>
    <w:rsid w:val="00EF6164"/>
    <w:rPr>
      <w:rFonts w:asciiTheme="majorHAnsi" w:eastAsiaTheme="majorEastAsia" w:hAnsiTheme="majorHAnsi" w:cstheme="majorBidi"/>
      <w:color w:val="68962C" w:themeColor="accent1" w:themeShade="BF"/>
    </w:rPr>
  </w:style>
  <w:style w:type="character" w:customStyle="1" w:styleId="Heading6Char">
    <w:name w:val="Heading 6 Char"/>
    <w:basedOn w:val="DefaultParagraphFont"/>
    <w:link w:val="Heading6"/>
    <w:uiPriority w:val="9"/>
    <w:semiHidden/>
    <w:rsid w:val="00EF6164"/>
    <w:rPr>
      <w:rFonts w:asciiTheme="majorHAnsi" w:eastAsiaTheme="majorEastAsia" w:hAnsiTheme="majorHAnsi" w:cstheme="majorBidi"/>
      <w:color w:val="45631D" w:themeColor="accent1" w:themeShade="7F"/>
    </w:rPr>
  </w:style>
  <w:style w:type="character" w:customStyle="1" w:styleId="Heading7Char">
    <w:name w:val="Heading 7 Char"/>
    <w:basedOn w:val="DefaultParagraphFont"/>
    <w:link w:val="Heading7"/>
    <w:uiPriority w:val="9"/>
    <w:semiHidden/>
    <w:rsid w:val="00EF6164"/>
    <w:rPr>
      <w:rFonts w:asciiTheme="majorHAnsi" w:eastAsiaTheme="majorEastAsia" w:hAnsiTheme="majorHAnsi" w:cstheme="majorBidi"/>
      <w:i/>
      <w:iCs/>
      <w:color w:val="45631D" w:themeColor="accent1" w:themeShade="7F"/>
    </w:rPr>
  </w:style>
  <w:style w:type="character" w:customStyle="1" w:styleId="Heading8Char">
    <w:name w:val="Heading 8 Char"/>
    <w:basedOn w:val="DefaultParagraphFont"/>
    <w:link w:val="Heading8"/>
    <w:uiPriority w:val="9"/>
    <w:semiHidden/>
    <w:rsid w:val="00EF61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616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EF6164"/>
    <w:pPr>
      <w:spacing w:after="200" w:line="240" w:lineRule="auto"/>
      <w:jc w:val="center"/>
    </w:pPr>
    <w:rPr>
      <w:b/>
      <w:i/>
      <w:iCs/>
      <w:color w:val="000000" w:themeColor="text1"/>
      <w:sz w:val="18"/>
      <w:szCs w:val="18"/>
    </w:rPr>
  </w:style>
  <w:style w:type="paragraph" w:styleId="BalloonText">
    <w:name w:val="Balloon Text"/>
    <w:basedOn w:val="Normal"/>
    <w:link w:val="BalloonTextChar"/>
    <w:uiPriority w:val="99"/>
    <w:semiHidden/>
    <w:unhideWhenUsed/>
    <w:rsid w:val="00490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4A2"/>
    <w:rPr>
      <w:rFonts w:ascii="Segoe UI" w:hAnsi="Segoe UI" w:cs="Segoe UI"/>
      <w:sz w:val="18"/>
      <w:szCs w:val="18"/>
    </w:rPr>
  </w:style>
  <w:style w:type="paragraph" w:styleId="TOC1">
    <w:name w:val="toc 1"/>
    <w:basedOn w:val="Normal"/>
    <w:next w:val="Normal"/>
    <w:autoRedefine/>
    <w:uiPriority w:val="39"/>
    <w:unhideWhenUsed/>
    <w:rsid w:val="004904A2"/>
    <w:pPr>
      <w:tabs>
        <w:tab w:val="left" w:pos="1620"/>
        <w:tab w:val="right" w:leader="dot" w:pos="9350"/>
      </w:tabs>
      <w:spacing w:after="100"/>
    </w:pPr>
    <w:rPr>
      <w:b/>
      <w:color w:val="0F75BC" w:themeColor="accent2"/>
      <w:sz w:val="32"/>
    </w:rPr>
  </w:style>
  <w:style w:type="paragraph" w:styleId="TOC2">
    <w:name w:val="toc 2"/>
    <w:basedOn w:val="Normal"/>
    <w:next w:val="Normal"/>
    <w:autoRedefine/>
    <w:uiPriority w:val="39"/>
    <w:unhideWhenUsed/>
    <w:rsid w:val="004904A2"/>
    <w:pPr>
      <w:spacing w:after="100"/>
      <w:ind w:left="220"/>
    </w:pPr>
    <w:rPr>
      <w:color w:val="46641E" w:themeColor="accent1" w:themeShade="80"/>
      <w:sz w:val="24"/>
    </w:rPr>
  </w:style>
  <w:style w:type="character" w:styleId="Hyperlink">
    <w:name w:val="Hyperlink"/>
    <w:basedOn w:val="DefaultParagraphFont"/>
    <w:uiPriority w:val="99"/>
    <w:unhideWhenUsed/>
    <w:rsid w:val="004904A2"/>
    <w:rPr>
      <w:color w:val="0563C1" w:themeColor="hyperlink"/>
      <w:u w:val="single"/>
    </w:rPr>
  </w:style>
  <w:style w:type="paragraph" w:styleId="CommentText">
    <w:name w:val="annotation text"/>
    <w:basedOn w:val="Normal"/>
    <w:link w:val="CommentTextChar"/>
    <w:uiPriority w:val="99"/>
    <w:unhideWhenUsed/>
    <w:rsid w:val="004904A2"/>
    <w:pPr>
      <w:spacing w:line="240" w:lineRule="auto"/>
    </w:pPr>
    <w:rPr>
      <w:sz w:val="20"/>
      <w:szCs w:val="20"/>
    </w:rPr>
  </w:style>
  <w:style w:type="character" w:customStyle="1" w:styleId="CommentTextChar">
    <w:name w:val="Comment Text Char"/>
    <w:basedOn w:val="DefaultParagraphFont"/>
    <w:link w:val="CommentText"/>
    <w:uiPriority w:val="99"/>
    <w:rsid w:val="004904A2"/>
    <w:rPr>
      <w:sz w:val="20"/>
      <w:szCs w:val="20"/>
    </w:rPr>
  </w:style>
  <w:style w:type="character" w:styleId="CommentReference">
    <w:name w:val="annotation reference"/>
    <w:basedOn w:val="DefaultParagraphFont"/>
    <w:uiPriority w:val="99"/>
    <w:semiHidden/>
    <w:unhideWhenUsed/>
    <w:rsid w:val="004904A2"/>
    <w:rPr>
      <w:sz w:val="16"/>
      <w:szCs w:val="16"/>
    </w:rPr>
  </w:style>
  <w:style w:type="paragraph" w:styleId="TableofFigures">
    <w:name w:val="table of figures"/>
    <w:basedOn w:val="Normal"/>
    <w:next w:val="Normal"/>
    <w:uiPriority w:val="99"/>
    <w:unhideWhenUsed/>
    <w:rsid w:val="004904A2"/>
    <w:pPr>
      <w:spacing w:after="0"/>
    </w:pPr>
  </w:style>
  <w:style w:type="paragraph" w:styleId="TOCHeading">
    <w:name w:val="TOC Heading"/>
    <w:basedOn w:val="Heading1"/>
    <w:next w:val="Normal"/>
    <w:uiPriority w:val="39"/>
    <w:unhideWhenUsed/>
    <w:qFormat/>
    <w:rsid w:val="00DC0AB2"/>
    <w:pPr>
      <w:numPr>
        <w:numId w:val="0"/>
      </w:numPr>
      <w:outlineLvl w:val="9"/>
    </w:pPr>
    <w:rPr>
      <w:color w:val="68962C" w:themeColor="accent1" w:themeShade="BF"/>
    </w:rPr>
  </w:style>
  <w:style w:type="paragraph" w:styleId="ListParagraph">
    <w:name w:val="List Paragraph"/>
    <w:basedOn w:val="Normal"/>
    <w:link w:val="ListParagraphChar"/>
    <w:uiPriority w:val="34"/>
    <w:qFormat/>
    <w:rsid w:val="00DC0AB2"/>
    <w:pPr>
      <w:ind w:left="720"/>
      <w:contextualSpacing/>
    </w:pPr>
  </w:style>
  <w:style w:type="table" w:styleId="TableGrid">
    <w:name w:val="Table Grid"/>
    <w:basedOn w:val="TableNormal"/>
    <w:rsid w:val="00DC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C0AB2"/>
  </w:style>
  <w:style w:type="table" w:styleId="GridTable4-Accent5">
    <w:name w:val="Grid Table 4 Accent 5"/>
    <w:basedOn w:val="TableNormal"/>
    <w:uiPriority w:val="49"/>
    <w:rsid w:val="00DC0AB2"/>
    <w:pPr>
      <w:spacing w:after="0" w:line="240" w:lineRule="auto"/>
    </w:pPr>
    <w:tblPr>
      <w:tblStyleRowBandSize w:val="1"/>
      <w:tblStyleColBandSize w:val="1"/>
      <w:tblBorders>
        <w:top w:val="single" w:sz="4" w:space="0" w:color="FDBC79" w:themeColor="accent5" w:themeTint="99"/>
        <w:left w:val="single" w:sz="4" w:space="0" w:color="FDBC79" w:themeColor="accent5" w:themeTint="99"/>
        <w:bottom w:val="single" w:sz="4" w:space="0" w:color="FDBC79" w:themeColor="accent5" w:themeTint="99"/>
        <w:right w:val="single" w:sz="4" w:space="0" w:color="FDBC79" w:themeColor="accent5" w:themeTint="99"/>
        <w:insideH w:val="single" w:sz="4" w:space="0" w:color="FDBC79" w:themeColor="accent5" w:themeTint="99"/>
        <w:insideV w:val="single" w:sz="4" w:space="0" w:color="FDBC79" w:themeColor="accent5" w:themeTint="99"/>
      </w:tblBorders>
    </w:tblPr>
    <w:tblStylePr w:type="firstRow">
      <w:rPr>
        <w:b/>
        <w:bCs/>
        <w:color w:val="FFFFFF" w:themeColor="background1"/>
      </w:rPr>
      <w:tblPr/>
      <w:tcPr>
        <w:tcBorders>
          <w:top w:val="single" w:sz="4" w:space="0" w:color="FD9120" w:themeColor="accent5"/>
          <w:left w:val="single" w:sz="4" w:space="0" w:color="FD9120" w:themeColor="accent5"/>
          <w:bottom w:val="single" w:sz="4" w:space="0" w:color="FD9120" w:themeColor="accent5"/>
          <w:right w:val="single" w:sz="4" w:space="0" w:color="FD9120" w:themeColor="accent5"/>
          <w:insideH w:val="nil"/>
          <w:insideV w:val="nil"/>
        </w:tcBorders>
        <w:shd w:val="clear" w:color="auto" w:fill="FD9120" w:themeFill="accent5"/>
      </w:tcPr>
    </w:tblStylePr>
    <w:tblStylePr w:type="lastRow">
      <w:rPr>
        <w:b/>
        <w:bCs/>
      </w:rPr>
      <w:tblPr/>
      <w:tcPr>
        <w:tcBorders>
          <w:top w:val="double" w:sz="4" w:space="0" w:color="FD9120" w:themeColor="accent5"/>
        </w:tcBorders>
      </w:tcPr>
    </w:tblStylePr>
    <w:tblStylePr w:type="firstCol">
      <w:rPr>
        <w:b/>
        <w:bCs/>
      </w:rPr>
    </w:tblStylePr>
    <w:tblStylePr w:type="lastCol">
      <w:rPr>
        <w:b/>
        <w:bCs/>
      </w:rPr>
    </w:tblStylePr>
    <w:tblStylePr w:type="band1Vert">
      <w:tblPr/>
      <w:tcPr>
        <w:shd w:val="clear" w:color="auto" w:fill="FEE8D2" w:themeFill="accent5" w:themeFillTint="33"/>
      </w:tcPr>
    </w:tblStylePr>
    <w:tblStylePr w:type="band1Horz">
      <w:tblPr/>
      <w:tcPr>
        <w:shd w:val="clear" w:color="auto" w:fill="FEE8D2" w:themeFill="accent5" w:themeFillTint="33"/>
      </w:tcPr>
    </w:tblStylePr>
  </w:style>
  <w:style w:type="paragraph" w:styleId="TOC3">
    <w:name w:val="toc 3"/>
    <w:basedOn w:val="Normal"/>
    <w:next w:val="Normal"/>
    <w:autoRedefine/>
    <w:uiPriority w:val="39"/>
    <w:unhideWhenUsed/>
    <w:rsid w:val="00DC0AB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2045 Charlotte LRTP">
      <a:dk1>
        <a:sysClr val="windowText" lastClr="000000"/>
      </a:dk1>
      <a:lt1>
        <a:sysClr val="window" lastClr="FFFFFF"/>
      </a:lt1>
      <a:dk2>
        <a:srgbClr val="44546A"/>
      </a:dk2>
      <a:lt2>
        <a:srgbClr val="E7E6E6"/>
      </a:lt2>
      <a:accent1>
        <a:srgbClr val="8CC63F"/>
      </a:accent1>
      <a:accent2>
        <a:srgbClr val="0F75BC"/>
      </a:accent2>
      <a:accent3>
        <a:srgbClr val="1DBECF"/>
      </a:accent3>
      <a:accent4>
        <a:srgbClr val="FFDE16"/>
      </a:accent4>
      <a:accent5>
        <a:srgbClr val="FD9120"/>
      </a:accent5>
      <a:accent6>
        <a:srgbClr val="CBE3BB"/>
      </a:accent6>
      <a:hlink>
        <a:srgbClr val="0563C1"/>
      </a:hlink>
      <a:folHlink>
        <a:srgbClr val="954F72"/>
      </a:folHlink>
    </a:clrScheme>
    <a:fontScheme name="Tindale Oliver Style">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A6F2-99F6-4ED4-AF64-2EC4F129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4910</Characters>
  <Application>Microsoft Office Word</Application>
  <DocSecurity>0</DocSecurity>
  <Lines>181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Miles</dc:creator>
  <cp:keywords/>
  <dc:description/>
  <cp:lastModifiedBy>Helene Miles</cp:lastModifiedBy>
  <cp:revision>3</cp:revision>
  <dcterms:created xsi:type="dcterms:W3CDTF">2020-12-23T21:14:00Z</dcterms:created>
  <dcterms:modified xsi:type="dcterms:W3CDTF">2020-12-23T21:15:00Z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328051947</vt:i4>
  </property>
</Properties>
</file>