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11936866"/>
        <w:docPartObj>
          <w:docPartGallery w:val="Cover Pages"/>
          <w:docPartUnique/>
        </w:docPartObj>
      </w:sdtPr>
      <w:sdtEndPr/>
      <w:sdtContent>
        <w:p w14:paraId="6316D272" w14:textId="77777777" w:rsidR="00EF6164" w:rsidRDefault="00EF6164"/>
        <w:p w14:paraId="7D944BD5" w14:textId="77777777" w:rsidR="004D03A4" w:rsidRDefault="004D03A4"/>
        <w:p w14:paraId="3D2E2436" w14:textId="77777777" w:rsidR="004D03A4" w:rsidRDefault="004D03A4"/>
        <w:p w14:paraId="2E3012F2" w14:textId="77777777" w:rsidR="0002620B" w:rsidRDefault="0002620B" w:rsidP="004D03A4">
          <w:pPr>
            <w:spacing w:after="0"/>
          </w:pPr>
        </w:p>
        <w:p w14:paraId="055393E7" w14:textId="77777777" w:rsidR="0002620B" w:rsidRDefault="0002620B" w:rsidP="004D03A4">
          <w:pPr>
            <w:spacing w:after="0"/>
          </w:pPr>
        </w:p>
        <w:p w14:paraId="725DAB0E" w14:textId="77777777" w:rsidR="0002620B" w:rsidRDefault="0002620B" w:rsidP="004D03A4">
          <w:pPr>
            <w:spacing w:after="0"/>
          </w:pPr>
        </w:p>
        <w:p w14:paraId="0E782363" w14:textId="77777777" w:rsidR="00F050C6" w:rsidRDefault="00F050C6" w:rsidP="004D03A4">
          <w:pPr>
            <w:spacing w:after="0"/>
          </w:pPr>
        </w:p>
        <w:p w14:paraId="3EA57F6F" w14:textId="6D3FF93C" w:rsidR="004904A2" w:rsidRDefault="004904A2" w:rsidP="004D03A4">
          <w:pPr>
            <w:spacing w:after="0"/>
            <w:rPr>
              <w:b/>
              <w:color w:val="0F75BC" w:themeColor="accent2"/>
              <w:sz w:val="56"/>
              <w:szCs w:val="56"/>
            </w:rPr>
          </w:pPr>
        </w:p>
        <w:p w14:paraId="4A495A0C" w14:textId="77777777" w:rsidR="00DC0AB2" w:rsidRDefault="00DC0AB2" w:rsidP="004D03A4">
          <w:pPr>
            <w:spacing w:after="0"/>
            <w:rPr>
              <w:b/>
              <w:color w:val="0F75BC" w:themeColor="accent2"/>
              <w:sz w:val="56"/>
              <w:szCs w:val="56"/>
            </w:rPr>
          </w:pPr>
        </w:p>
        <w:p w14:paraId="010089EC" w14:textId="7416A2EC" w:rsidR="00CA6F3D" w:rsidRPr="00CA6F3D" w:rsidRDefault="009B01DF" w:rsidP="00CA6F3D">
          <w:pPr>
            <w:pStyle w:val="Heading1"/>
            <w:ind w:left="0" w:firstLine="0"/>
            <w:rPr>
              <w:szCs w:val="84"/>
            </w:rPr>
          </w:pPr>
          <w:bookmarkStart w:id="0" w:name="_Toc55197896"/>
          <w:r>
            <w:br/>
          </w:r>
          <w:r w:rsidR="00FE4B56">
            <w:t>Introduction</w:t>
          </w:r>
          <w:bookmarkEnd w:id="0"/>
          <w:r w:rsidR="008F238D" w:rsidRPr="00FE4B56">
            <w:t xml:space="preserve"> </w:t>
          </w:r>
        </w:p>
        <w:p w14:paraId="5427E452" w14:textId="3BA340FA" w:rsidR="00CA6F3D" w:rsidRPr="00FE4B56" w:rsidRDefault="00CA6F3D">
          <w:pPr>
            <w:rPr>
              <w:sz w:val="84"/>
              <w:szCs w:val="84"/>
            </w:rPr>
            <w:sectPr w:rsidR="00CA6F3D" w:rsidRPr="00FE4B56" w:rsidSect="004D03A4">
              <w:headerReference w:type="default" r:id="rId8"/>
              <w:footerReference w:type="default" r:id="rId9"/>
              <w:headerReference w:type="first" r:id="rId10"/>
              <w:pgSz w:w="12240" w:h="15840"/>
              <w:pgMar w:top="1800" w:right="1440" w:bottom="1440" w:left="1440" w:header="720" w:footer="720" w:gutter="0"/>
              <w:pgNumType w:fmt="lowerRoman" w:start="0"/>
              <w:cols w:space="720"/>
              <w:titlePg/>
              <w:docGrid w:linePitch="360"/>
            </w:sectPr>
          </w:pPr>
        </w:p>
        <w:p w14:paraId="3415512A" w14:textId="5805089A" w:rsidR="004D03A4" w:rsidRDefault="00182381"/>
      </w:sdtContent>
    </w:sdt>
    <w:p w14:paraId="24A61765" w14:textId="24EF7C49" w:rsidR="00DC0AB2" w:rsidRDefault="00DC0AB2" w:rsidP="009B01DF">
      <w:r>
        <w:br w:type="page"/>
      </w:r>
    </w:p>
    <w:p w14:paraId="141E736F" w14:textId="0D63B598" w:rsidR="00EF6164" w:rsidRPr="00CA6F3D" w:rsidRDefault="00FE4B56" w:rsidP="00CA6F3D">
      <w:pPr>
        <w:pStyle w:val="Heading2"/>
      </w:pPr>
      <w:bookmarkStart w:id="1" w:name="_Toc55197897"/>
      <w:r w:rsidRPr="00CA6F3D">
        <w:lastRenderedPageBreak/>
        <w:t>Introduction</w:t>
      </w:r>
      <w:bookmarkEnd w:id="1"/>
    </w:p>
    <w:p w14:paraId="7536F8C6" w14:textId="20E70AF0" w:rsidR="003A04D7" w:rsidRDefault="003A04D7" w:rsidP="003A04D7">
      <w:bookmarkStart w:id="2" w:name="_Toc22806854"/>
      <w:r>
        <w:t>The United States Congress passed the Federal-Aid Highway Act of 1962, which required the formation of a Metropolitan Planning Organization (MPO) for any urbanized area with a population greater than 50,000. MPOs are federally funded transportation policymaking organizations made up of local government and transportation providers. Congress created MPOs to ensure that existing and future expenditures of governmental funds for transportation projects and programs are based on a continuing, cooperative, and comprehensive (“3-C”) planning process. Statewide and metropolitan transportation planning processes are governed by federal law (23 U.S.C. §§ 134-135). The Charlotte County-Punta Gorda MPO was created in July 1992 and is made up of representatives from the Charlotte County Board of County Commissioners, the Charlotte County Airport Authority, the City of Punta Gorda, and the Florida Department of Transportation (FDOT) District One Secretary.</w:t>
      </w:r>
    </w:p>
    <w:p w14:paraId="21251110" w14:textId="313C5C21" w:rsidR="00FE4B56" w:rsidRPr="004F461A" w:rsidRDefault="00FE4B56" w:rsidP="003A04D7">
      <w:r w:rsidRPr="004F461A">
        <w:t xml:space="preserve">The most significant aspect of the Charlotte County-Punta Gorda </w:t>
      </w:r>
      <w:r w:rsidRPr="00BF20FD">
        <w:t>MPO</w:t>
      </w:r>
      <w:r w:rsidR="003A04D7">
        <w:t>’s</w:t>
      </w:r>
      <w:r w:rsidRPr="00BF20FD">
        <w:t xml:space="preserve"> mission is to ensure future mobility for residents and visitors in Charlotte County and Punta Gorda, as well as a portion of southwest DeSoto County within the MPO’s planning area boundary. To do so, the MPO guides the transportation planning process</w:t>
      </w:r>
      <w:r w:rsidRPr="008F524E">
        <w:t xml:space="preserve"> which includes the development of the </w:t>
      </w:r>
      <w:r w:rsidRPr="004F461A">
        <w:t>Long Range Transportation Plan (LRTP) to identify future transportation improvements.</w:t>
      </w:r>
    </w:p>
    <w:p w14:paraId="260C447E" w14:textId="7615ED82" w:rsidR="00FE4B56" w:rsidRPr="004F461A" w:rsidRDefault="00FE4B56" w:rsidP="00FE4B56">
      <w:r w:rsidRPr="004F461A">
        <w:t>The LRTP is required by the Federal Highway Administration (FHWA) to identify strategies to ensure current and future mobility needs. The analysis used to develop the plan is based on population and employment projections</w:t>
      </w:r>
      <w:r w:rsidR="00C00510" w:rsidRPr="004F461A">
        <w:t xml:space="preserve">, </w:t>
      </w:r>
      <w:r w:rsidRPr="004F461A">
        <w:t>the expected travel patterns</w:t>
      </w:r>
      <w:r w:rsidR="00C00510" w:rsidRPr="004F461A">
        <w:t>,</w:t>
      </w:r>
      <w:r w:rsidRPr="004F461A">
        <w:t xml:space="preserve"> and amount of travel to the year 2045. The plan is updated every five years to refine the long-term strategy for the transportation system based on changes in transportation needs and </w:t>
      </w:r>
      <w:r w:rsidR="008D42F5" w:rsidRPr="004F461A">
        <w:t>outlook</w:t>
      </w:r>
      <w:r w:rsidRPr="004F461A">
        <w:t xml:space="preserve"> for the </w:t>
      </w:r>
      <w:r w:rsidR="00C00510" w:rsidRPr="004F461A">
        <w:t>MPO’s planning area</w:t>
      </w:r>
      <w:r w:rsidRPr="004F461A">
        <w:t>.</w:t>
      </w:r>
    </w:p>
    <w:p w14:paraId="3FAC59A9" w14:textId="77777777" w:rsidR="00FE4B56" w:rsidRPr="004F461A" w:rsidRDefault="00FE4B56" w:rsidP="00FE4B56">
      <w:r w:rsidRPr="004F461A">
        <w:t>The short-range component of the LRTP is the Transportation Improvement Program (TIP), which covers the first five years. The TIP identifies, prioritizes, and allocates funding for transportation projects and is updated annually. Projects must be in the LRTP to be added to the TIP.</w:t>
      </w:r>
    </w:p>
    <w:p w14:paraId="51F87199" w14:textId="4E012EE4" w:rsidR="00FE4B56" w:rsidRPr="004F461A" w:rsidRDefault="00FE4B56" w:rsidP="00FE4B56">
      <w:r w:rsidRPr="004F461A">
        <w:t xml:space="preserve">The LRTP meets federal guidelines with the adoption of a set of goals and objectives that allow potential projects’ performance to be measured. This ensures the projects </w:t>
      </w:r>
      <w:r w:rsidR="00C00510" w:rsidRPr="004F461A">
        <w:t>included in the LRTP best address the goals and vision established by the MPO</w:t>
      </w:r>
      <w:r w:rsidRPr="004F461A">
        <w:t>.</w:t>
      </w:r>
    </w:p>
    <w:p w14:paraId="356D867F" w14:textId="77777777" w:rsidR="00B06D91" w:rsidRDefault="00FE4B56" w:rsidP="00FE4B56">
      <w:pPr>
        <w:sectPr w:rsidR="00B06D91" w:rsidSect="00FE4B56">
          <w:headerReference w:type="default" r:id="rId11"/>
          <w:footerReference w:type="default" r:id="rId12"/>
          <w:type w:val="continuous"/>
          <w:pgSz w:w="12240" w:h="15840" w:code="1"/>
          <w:pgMar w:top="1800" w:right="1440" w:bottom="1152" w:left="1440" w:header="720" w:footer="720" w:gutter="0"/>
          <w:pgNumType w:start="0" w:chapStyle="1"/>
          <w:cols w:space="720"/>
          <w:docGrid w:linePitch="360"/>
        </w:sectPr>
      </w:pPr>
      <w:r w:rsidRPr="004F461A">
        <w:t xml:space="preserve">Route to 2045 is the brand name for the LRTP, coined by the Charlotte County Punta Gorda MPO, that identifies the “route” to meet the transportation needs of </w:t>
      </w:r>
      <w:r w:rsidR="00C00510" w:rsidRPr="004F461A">
        <w:t>the MPO’s planning area</w:t>
      </w:r>
      <w:r w:rsidRPr="004F461A">
        <w:t xml:space="preserve"> for the next 25 years. </w:t>
      </w:r>
      <w:r w:rsidR="004F461A">
        <w:t>The plan</w:t>
      </w:r>
      <w:r w:rsidRPr="004F461A">
        <w:t xml:space="preserve"> addresses cost feasible highway, transit, bicycle, and pedestrian projects through the year 2045. The improvements identified in this Plan </w:t>
      </w:r>
      <w:r w:rsidR="000532D0">
        <w:t>highlights the</w:t>
      </w:r>
      <w:r w:rsidRPr="004F461A">
        <w:t xml:space="preserve"> future </w:t>
      </w:r>
      <w:r w:rsidR="00C00510" w:rsidRPr="004F461A">
        <w:t xml:space="preserve">multimodal </w:t>
      </w:r>
      <w:r w:rsidRPr="004F461A">
        <w:t xml:space="preserve">needs and enhance safety and security within the planning area boundary. The map in </w:t>
      </w:r>
      <w:r w:rsidRPr="00A306B3">
        <w:rPr>
          <w:b/>
          <w:bCs/>
        </w:rPr>
        <w:t>Figure 1-1</w:t>
      </w:r>
      <w:r w:rsidRPr="00CA6F3D">
        <w:fldChar w:fldCharType="begin"/>
      </w:r>
      <w:r w:rsidRPr="004F461A">
        <w:instrText xml:space="preserve"> REF _Ref43712308 \h </w:instrText>
      </w:r>
      <w:r w:rsidR="004F461A">
        <w:instrText xml:space="preserve"> \* MERGEFORMAT </w:instrText>
      </w:r>
      <w:r w:rsidRPr="00CA6F3D">
        <w:fldChar w:fldCharType="end"/>
      </w:r>
      <w:r w:rsidRPr="004F461A">
        <w:t xml:space="preserve"> shows the planning area and key features within the MPO’s planning area.</w:t>
      </w:r>
    </w:p>
    <w:p w14:paraId="5FCD4641" w14:textId="34B4637F" w:rsidR="00FE4B56" w:rsidRDefault="00FE4B56" w:rsidP="00FE4B56">
      <w:pPr>
        <w:pStyle w:val="Caption"/>
      </w:pPr>
      <w:r>
        <w:lastRenderedPageBreak/>
        <w:t xml:space="preserve">Figure </w:t>
      </w:r>
      <w:r w:rsidR="00182381">
        <w:fldChar w:fldCharType="begin"/>
      </w:r>
      <w:r w:rsidR="00182381">
        <w:instrText xml:space="preserve"> STYLEREF 1 \s </w:instrText>
      </w:r>
      <w:r w:rsidR="00182381">
        <w:fldChar w:fldCharType="separate"/>
      </w:r>
      <w:r>
        <w:rPr>
          <w:noProof/>
        </w:rPr>
        <w:t>1</w:t>
      </w:r>
      <w:r w:rsidR="00182381">
        <w:rPr>
          <w:noProof/>
        </w:rPr>
        <w:fldChar w:fldCharType="end"/>
      </w:r>
      <w:r>
        <w:noBreakHyphen/>
      </w:r>
      <w:r w:rsidR="00182381">
        <w:fldChar w:fldCharType="begin"/>
      </w:r>
      <w:r w:rsidR="00182381">
        <w:instrText xml:space="preserve"> SEQ Figure \* ARABIC \s 1 </w:instrText>
      </w:r>
      <w:r w:rsidR="00182381">
        <w:fldChar w:fldCharType="separate"/>
      </w:r>
      <w:r>
        <w:rPr>
          <w:noProof/>
        </w:rPr>
        <w:t>1</w:t>
      </w:r>
      <w:r w:rsidR="00182381">
        <w:rPr>
          <w:noProof/>
        </w:rPr>
        <w:fldChar w:fldCharType="end"/>
      </w:r>
      <w:r>
        <w:t xml:space="preserve"> Charlotte County-Punta Gorda MPO Planning Area Map</w:t>
      </w:r>
      <w:r w:rsidR="000532D0">
        <w:t xml:space="preserve"> </w:t>
      </w:r>
    </w:p>
    <w:p w14:paraId="04230F7B" w14:textId="3B0BFA95" w:rsidR="00732037" w:rsidRDefault="00732037" w:rsidP="00732037">
      <w:pPr>
        <w:jc w:val="center"/>
        <w:sectPr w:rsidR="00732037" w:rsidSect="00732037">
          <w:headerReference w:type="default" r:id="rId13"/>
          <w:footerReference w:type="default" r:id="rId14"/>
          <w:pgSz w:w="24480" w:h="15840" w:orient="landscape" w:code="17"/>
          <w:pgMar w:top="1800" w:right="1440" w:bottom="1152" w:left="1440" w:header="720" w:footer="720" w:gutter="0"/>
          <w:pgNumType w:chapStyle="1"/>
          <w:cols w:space="720"/>
          <w:docGrid w:linePitch="360"/>
        </w:sectPr>
      </w:pPr>
      <w:r>
        <w:rPr>
          <w:noProof/>
        </w:rPr>
        <w:drawing>
          <wp:inline distT="0" distB="0" distL="0" distR="0" wp14:anchorId="6094794D" wp14:editId="13309E22">
            <wp:extent cx="12192000" cy="7900642"/>
            <wp:effectExtent l="0" t="0" r="0" b="5715"/>
            <wp:docPr id="7" name="Picture 7" descr="Map of Charlotte County Punta-Gorda MPO Plann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Charlotte County Punta-Gorda MPO Planning Are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07598" cy="7910750"/>
                    </a:xfrm>
                    <a:prstGeom prst="rect">
                      <a:avLst/>
                    </a:prstGeom>
                    <a:noFill/>
                    <a:ln>
                      <a:noFill/>
                    </a:ln>
                  </pic:spPr>
                </pic:pic>
              </a:graphicData>
            </a:graphic>
          </wp:inline>
        </w:drawing>
      </w:r>
    </w:p>
    <w:p w14:paraId="59E0FD8F" w14:textId="5AD3D93B" w:rsidR="00FE4B56" w:rsidRPr="00CA6F3D" w:rsidRDefault="00FE4B56" w:rsidP="00CA6F3D">
      <w:pPr>
        <w:pStyle w:val="Heading2"/>
      </w:pPr>
      <w:bookmarkStart w:id="3" w:name="_Toc53674887"/>
      <w:bookmarkStart w:id="4" w:name="_Toc54874467"/>
      <w:bookmarkStart w:id="5" w:name="_Toc55197898"/>
      <w:r w:rsidRPr="00CA6F3D">
        <w:lastRenderedPageBreak/>
        <w:t>Mapping the Route to 2045</w:t>
      </w:r>
      <w:bookmarkEnd w:id="3"/>
      <w:bookmarkEnd w:id="4"/>
      <w:bookmarkEnd w:id="5"/>
    </w:p>
    <w:p w14:paraId="276C41E0" w14:textId="753DFB80" w:rsidR="00FE4B56" w:rsidRDefault="00FE4B56" w:rsidP="00FE4B56">
      <w:r>
        <w:t>The LRTP establishes a vision to address the transportation system needs through cost feasible improvements over the next 25 years. The multimodal plan documented in this report outlines highways; public transportation (transit); and bicycle, pedestrian, and multi-use trail facilities. The purpose of this plan is to address federal and state requirements by identifying projects that are cost feasible for each mode of travel.</w:t>
      </w:r>
    </w:p>
    <w:p w14:paraId="7F27E991" w14:textId="77777777" w:rsidR="00FE4B56" w:rsidRDefault="00FE4B56" w:rsidP="00FE4B56">
      <w:r>
        <w:t>This 2045 LRTP represents a significant and visionary effort to address the long-term transportation needs of Charlotte County, City of Punta Gorda, and the southwest corner of DeSoto County. Key highlights of this plan include:</w:t>
      </w:r>
    </w:p>
    <w:p w14:paraId="39384C8C" w14:textId="3DDB1D03" w:rsidR="00FE4B56" w:rsidRPr="00E751C5" w:rsidRDefault="00FE4B56" w:rsidP="00FE4B56">
      <w:pPr>
        <w:pStyle w:val="ListParagraph"/>
        <w:numPr>
          <w:ilvl w:val="0"/>
          <w:numId w:val="3"/>
        </w:numPr>
      </w:pPr>
      <w:r w:rsidRPr="00E751C5">
        <w:t xml:space="preserve">Population and employment forecasts that consider growth in the existing core and current plans for the Babcock Ranch Development in the eastern portion of the county. </w:t>
      </w:r>
    </w:p>
    <w:p w14:paraId="3FDD6DDA" w14:textId="06D1975E" w:rsidR="00FE4B56" w:rsidRPr="00E751C5" w:rsidRDefault="00FE4B56" w:rsidP="00FE4B56">
      <w:pPr>
        <w:pStyle w:val="ListParagraph"/>
        <w:numPr>
          <w:ilvl w:val="0"/>
          <w:numId w:val="3"/>
        </w:numPr>
      </w:pPr>
      <w:r w:rsidRPr="00E751C5">
        <w:t xml:space="preserve">Updated revenue projections from federal, </w:t>
      </w:r>
      <w:r w:rsidR="00182381" w:rsidRPr="00E751C5">
        <w:t>State,</w:t>
      </w:r>
      <w:r w:rsidRPr="00E751C5">
        <w:t xml:space="preserve"> and local transportation sources.</w:t>
      </w:r>
    </w:p>
    <w:p w14:paraId="2CCC199D" w14:textId="77777777" w:rsidR="00FE4B56" w:rsidRPr="00E751C5" w:rsidRDefault="00FE4B56" w:rsidP="00FE4B56">
      <w:pPr>
        <w:pStyle w:val="ListParagraph"/>
        <w:numPr>
          <w:ilvl w:val="0"/>
          <w:numId w:val="3"/>
        </w:numPr>
      </w:pPr>
      <w:r w:rsidRPr="00E751C5">
        <w:t>Extensive public involvement included in-person meetings</w:t>
      </w:r>
      <w:r>
        <w:t xml:space="preserve"> and workshops</w:t>
      </w:r>
      <w:r w:rsidRPr="00E751C5">
        <w:t xml:space="preserve">, </w:t>
      </w:r>
      <w:r>
        <w:t xml:space="preserve">multiple </w:t>
      </w:r>
      <w:r w:rsidRPr="00E751C5">
        <w:t xml:space="preserve">online surveys, </w:t>
      </w:r>
      <w:r>
        <w:t xml:space="preserve">an interactive online mapping application, </w:t>
      </w:r>
      <w:r w:rsidRPr="00E751C5">
        <w:t xml:space="preserve">and </w:t>
      </w:r>
      <w:r>
        <w:t xml:space="preserve">the MPO’s first “cost feasible” </w:t>
      </w:r>
      <w:r w:rsidRPr="00E751C5">
        <w:t>virtual workshops.</w:t>
      </w:r>
    </w:p>
    <w:p w14:paraId="2CFF7893" w14:textId="041AE8B0" w:rsidR="00FE4B56" w:rsidRDefault="00FE4B56" w:rsidP="00FE4B56">
      <w:pPr>
        <w:pStyle w:val="ListParagraph"/>
        <w:numPr>
          <w:ilvl w:val="0"/>
          <w:numId w:val="3"/>
        </w:numPr>
      </w:pPr>
      <w:r w:rsidRPr="00E751C5">
        <w:t xml:space="preserve">A review of existing </w:t>
      </w:r>
      <w:r>
        <w:t xml:space="preserve">public </w:t>
      </w:r>
      <w:r w:rsidRPr="00E751C5">
        <w:t xml:space="preserve">transportation priorities and incorporation of the first-ever </w:t>
      </w:r>
      <w:r>
        <w:t>Charlotte County Regional B</w:t>
      </w:r>
      <w:r w:rsidRPr="00E751C5">
        <w:t>icycle/</w:t>
      </w:r>
      <w:r>
        <w:t>P</w:t>
      </w:r>
      <w:r w:rsidRPr="00E751C5">
        <w:t xml:space="preserve">edestrian </w:t>
      </w:r>
      <w:r>
        <w:t>M</w:t>
      </w:r>
      <w:r w:rsidRPr="00E751C5">
        <w:t xml:space="preserve">aster </w:t>
      </w:r>
      <w:r>
        <w:t>P</w:t>
      </w:r>
      <w:r w:rsidRPr="00E751C5">
        <w:t>lan.</w:t>
      </w:r>
      <w:r w:rsidR="005A08E5">
        <w:br/>
      </w:r>
    </w:p>
    <w:p w14:paraId="1F178348" w14:textId="77777777" w:rsidR="00F857FA" w:rsidRDefault="00C576BD" w:rsidP="005A08E5">
      <w:r>
        <w:rPr>
          <w:noProof/>
        </w:rPr>
        <w:drawing>
          <wp:inline distT="0" distB="0" distL="0" distR="0" wp14:anchorId="0956E067" wp14:editId="1C3F5B80">
            <wp:extent cx="4232188" cy="2377440"/>
            <wp:effectExtent l="0" t="0" r="0" b="3810"/>
            <wp:docPr id="8" name="Picture 8" descr="Aerial image of the Charlotte County Regional Sports Park on SR 776 in Mid-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erial image of the Charlotte County Regional Sports Park on SR 776 in Mid-Coun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6663" cy="2385571"/>
                    </a:xfrm>
                    <a:prstGeom prst="rect">
                      <a:avLst/>
                    </a:prstGeom>
                    <a:noFill/>
                    <a:ln>
                      <a:noFill/>
                    </a:ln>
                  </pic:spPr>
                </pic:pic>
              </a:graphicData>
            </a:graphic>
          </wp:inline>
        </w:drawing>
      </w:r>
      <w:r w:rsidR="00C00510">
        <w:t xml:space="preserve"> </w:t>
      </w:r>
      <w:r w:rsidR="00C00510">
        <w:rPr>
          <w:noProof/>
        </w:rPr>
        <mc:AlternateContent>
          <mc:Choice Requires="wps">
            <w:drawing>
              <wp:inline distT="0" distB="0" distL="0" distR="0" wp14:anchorId="5275EABE" wp14:editId="7C2F7CDC">
                <wp:extent cx="1600200" cy="1404620"/>
                <wp:effectExtent l="0" t="0" r="0" b="0"/>
                <wp:docPr id="217" name="Text Box 2" descr="Improving intersections along SR 776, like this one at the Charlotte Regional Sports Park, are key locations identified in the Route to 2045 LRT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noFill/>
                          <a:miter lim="800000"/>
                          <a:headEnd/>
                          <a:tailEnd/>
                        </a:ln>
                      </wps:spPr>
                      <wps:txbx>
                        <w:txbxContent>
                          <w:p w14:paraId="16125B4D" w14:textId="076833C6" w:rsidR="00C00510" w:rsidRPr="00A50850" w:rsidRDefault="00C00510" w:rsidP="00C00510">
                            <w:pPr>
                              <w:rPr>
                                <w:i/>
                                <w:iCs/>
                              </w:rPr>
                            </w:pPr>
                            <w:r w:rsidRPr="00A50850">
                              <w:rPr>
                                <w:i/>
                                <w:iCs/>
                              </w:rPr>
                              <w:t>Improving intersections along SR 776, like this one at the Charlotte Regional Sports Park, are key locations identified in the Route to 2045 LRTP.</w:t>
                            </w:r>
                          </w:p>
                        </w:txbxContent>
                      </wps:txbx>
                      <wps:bodyPr rot="0" vert="horz" wrap="square" lIns="91440" tIns="45720" rIns="91440" bIns="45720" anchor="t" anchorCtr="0">
                        <a:spAutoFit/>
                      </wps:bodyPr>
                    </wps:wsp>
                  </a:graphicData>
                </a:graphic>
              </wp:inline>
            </w:drawing>
          </mc:Choice>
          <mc:Fallback>
            <w:pict>
              <v:shapetype w14:anchorId="5275EABE" id="_x0000_t202" coordsize="21600,21600" o:spt="202" path="m,l,21600r21600,l21600,xe">
                <v:stroke joinstyle="miter"/>
                <v:path gradientshapeok="t" o:connecttype="rect"/>
              </v:shapetype>
              <v:shape id="Text Box 2" o:spid="_x0000_s1026" type="#_x0000_t202" alt="Improving intersections along SR 776, like this one at the Charlotte Regional Sports Park, are key locations identified in the Route to 2045 LRTP." style="width:12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" stroked="f">
                <v:textbox style="mso-fit-shape-to-text:t">
                  <w:txbxContent>
                    <w:p w14:paraId="16125B4D" w14:textId="076833C6" w:rsidR="00C00510" w:rsidRPr="00A50850" w:rsidRDefault="00C00510" w:rsidP="00C00510">
                      <w:pPr>
                        <w:rPr>
                          <w:i/>
                          <w:iCs/>
                        </w:rPr>
                      </w:pPr>
                      <w:r w:rsidRPr="00A50850">
                        <w:rPr>
                          <w:i/>
                          <w:iCs/>
                        </w:rPr>
                        <w:t>Improving intersections along SR 776, like this one at the Charlotte Regional Sports Park, are key locations identified in the Route to 2045 LRTP.</w:t>
                      </w:r>
                    </w:p>
                  </w:txbxContent>
                </v:textbox>
                <w10:anchorlock/>
              </v:shape>
            </w:pict>
          </mc:Fallback>
        </mc:AlternateContent>
      </w:r>
    </w:p>
    <w:p w14:paraId="32ADB108" w14:textId="5766D573" w:rsidR="005A08E5" w:rsidRDefault="005A08E5" w:rsidP="005A08E5">
      <w:r>
        <w:br w:type="page"/>
      </w:r>
    </w:p>
    <w:p w14:paraId="5FC15F64" w14:textId="77777777" w:rsidR="00FE4B56" w:rsidRPr="00CA6F3D" w:rsidRDefault="00FE4B56" w:rsidP="00CA6F3D">
      <w:pPr>
        <w:pStyle w:val="Heading2"/>
      </w:pPr>
      <w:bookmarkStart w:id="6" w:name="_Toc53674888"/>
      <w:bookmarkStart w:id="7" w:name="_Toc54874468"/>
      <w:bookmarkStart w:id="8" w:name="_Toc55197899"/>
      <w:r w:rsidRPr="00CA6F3D">
        <w:lastRenderedPageBreak/>
        <w:t>Plan Development</w:t>
      </w:r>
      <w:bookmarkEnd w:id="6"/>
      <w:bookmarkEnd w:id="7"/>
      <w:bookmarkEnd w:id="8"/>
    </w:p>
    <w:p w14:paraId="18755DD1" w14:textId="5FC3087B" w:rsidR="00FE4B56" w:rsidRDefault="00FE4B56" w:rsidP="00FE4B56">
      <w:r w:rsidRPr="007842AD">
        <w:t xml:space="preserve">There are two major aspects required in the development of the LRTP. The first is the identification of the transportation needs of </w:t>
      </w:r>
      <w:r>
        <w:t>the</w:t>
      </w:r>
      <w:r w:rsidRPr="007842AD">
        <w:t xml:space="preserve"> community. Second is determining how will we pay for the needs (Cost Feasible). The identification of needs considers projected growth and how it may affect the transportation system, and the community’s aspirations for the future. The Cost Feasible Plan identifies the needs that can be funded with available transportation revenues. The LRTP </w:t>
      </w:r>
      <w:r>
        <w:t>addresses</w:t>
      </w:r>
      <w:r w:rsidRPr="007842AD">
        <w:t xml:space="preserve"> </w:t>
      </w:r>
      <w:r>
        <w:t>the surface transportation network including roadways, transit, and non-motorized (</w:t>
      </w:r>
      <w:r w:rsidRPr="007842AD">
        <w:t xml:space="preserve">bicycle and </w:t>
      </w:r>
      <w:r>
        <w:t>pedestrian) facilities</w:t>
      </w:r>
      <w:r w:rsidRPr="007842AD">
        <w:t>.</w:t>
      </w:r>
      <w:r w:rsidRPr="00005D9E">
        <w:t xml:space="preserve"> </w:t>
      </w:r>
    </w:p>
    <w:p w14:paraId="699CD046" w14:textId="56C85B6A" w:rsidR="00FE4B56" w:rsidRPr="00E45D5E" w:rsidRDefault="00FE4B56" w:rsidP="00FE4B56">
      <w:r>
        <w:t>T</w:t>
      </w:r>
      <w:r w:rsidRPr="00005D9E">
        <w:t xml:space="preserve">his document </w:t>
      </w:r>
      <w:r>
        <w:t xml:space="preserve">summarizes </w:t>
      </w:r>
      <w:r w:rsidRPr="00005D9E">
        <w:t xml:space="preserve">the 2045 LRTP components in both map and tabular formats while providing an overview of the process followed for establishing a community vision and goals that guided the LRTP development. </w:t>
      </w:r>
      <w:r w:rsidRPr="00A306B3">
        <w:rPr>
          <w:b/>
          <w:bCs/>
        </w:rPr>
        <w:t>Figure 1-2</w:t>
      </w:r>
      <w:r>
        <w:t xml:space="preserve"> </w:t>
      </w:r>
      <w:r w:rsidRPr="00005D9E">
        <w:t>provides an overview of the steps that were followed in developing the results and recommendations for the LRTP.</w:t>
      </w:r>
      <w:r w:rsidR="00E45D5E">
        <w:t xml:space="preserve"> </w:t>
      </w:r>
      <w:r w:rsidR="00E45D5E">
        <w:rPr>
          <w:b/>
          <w:bCs/>
        </w:rPr>
        <w:t xml:space="preserve">Appendix A </w:t>
      </w:r>
      <w:r w:rsidR="00E45D5E">
        <w:t xml:space="preserve"> provides a checklist demonstrating how and where the long range transportation planning requirements identified in State Statutes and Federal Regulations have been addressed.</w:t>
      </w:r>
    </w:p>
    <w:p w14:paraId="4D0DFE03" w14:textId="77777777" w:rsidR="00FE4B56" w:rsidRDefault="00FE4B56" w:rsidP="00433083">
      <w:pPr>
        <w:pStyle w:val="Caption"/>
      </w:pPr>
      <w:bookmarkStart w:id="9" w:name="_Ref43716421"/>
      <w:bookmarkStart w:id="10" w:name="_Toc53674777"/>
      <w:r>
        <w:t xml:space="preserve">Figure </w:t>
      </w:r>
      <w:r w:rsidR="00182381">
        <w:fldChar w:fldCharType="begin"/>
      </w:r>
      <w:r w:rsidR="00182381">
        <w:instrText xml:space="preserve"> STYLEREF 1 \s </w:instrText>
      </w:r>
      <w:r w:rsidR="00182381">
        <w:fldChar w:fldCharType="separate"/>
      </w:r>
      <w:r>
        <w:rPr>
          <w:noProof/>
        </w:rPr>
        <w:t>1</w:t>
      </w:r>
      <w:r w:rsidR="00182381">
        <w:rPr>
          <w:noProof/>
        </w:rPr>
        <w:fldChar w:fldCharType="end"/>
      </w:r>
      <w:r>
        <w:noBreakHyphen/>
      </w:r>
      <w:r w:rsidR="00182381">
        <w:fldChar w:fldCharType="begin"/>
      </w:r>
      <w:r w:rsidR="00182381">
        <w:instrText xml:space="preserve"> SEQ Figure \* ARABIC \s 1 </w:instrText>
      </w:r>
      <w:r w:rsidR="00182381">
        <w:fldChar w:fldCharType="separate"/>
      </w:r>
      <w:r>
        <w:rPr>
          <w:noProof/>
        </w:rPr>
        <w:t>2</w:t>
      </w:r>
      <w:r w:rsidR="00182381">
        <w:rPr>
          <w:noProof/>
        </w:rPr>
        <w:fldChar w:fldCharType="end"/>
      </w:r>
      <w:bookmarkEnd w:id="9"/>
      <w:r w:rsidRPr="00477433">
        <w:t>:</w:t>
      </w:r>
      <w:r>
        <w:t xml:space="preserve"> Route to 2045 Development Process</w:t>
      </w:r>
      <w:bookmarkEnd w:id="10"/>
    </w:p>
    <w:p w14:paraId="2CD690AF" w14:textId="1D314CFB" w:rsidR="00FE4B56" w:rsidRDefault="00FE4B56" w:rsidP="00FE4B56">
      <w:r>
        <w:rPr>
          <w:rFonts w:ascii="Times New Roman" w:hAnsi="Times New Roman"/>
          <w:noProof/>
          <w:sz w:val="24"/>
          <w:szCs w:val="24"/>
        </w:rPr>
        <w:drawing>
          <wp:inline distT="0" distB="0" distL="0" distR="0" wp14:anchorId="11F5DE0E" wp14:editId="205472A4">
            <wp:extent cx="5943600" cy="1880489"/>
            <wp:effectExtent l="0" t="0" r="0" b="5715"/>
            <wp:docPr id="5" name="Picture 5" descr="Infographic outlining Route to 2045 Development Process. &#10;1) MPO updates the LRTP every 5 years. ETDM Planning Screen for appropriate projects.&#10;2) Develop a vision for the plan along with various goals and objectives.&#10;3) Assess the transportation needs for the MPO area with input from local entities. &#10;4) From the total Needs, develop a draft 20-year Cost-Feasible Plan.&#10;5) MPO and District distribute draft plan according to MPO Handbook. &#10;6) MPO allows all interested parties reasonable opportunity to comment on the draft plan.&#10;7) MPO adopts final plan. MPO and District distribute according to the MPO hand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1" r="111" b="7970"/>
                    <a:stretch/>
                  </pic:blipFill>
                  <pic:spPr bwMode="auto">
                    <a:xfrm>
                      <a:off x="0" y="0"/>
                      <a:ext cx="5943600" cy="1880489"/>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762EBEA" w14:textId="77777777" w:rsidR="00F804E4" w:rsidRDefault="00F804E4" w:rsidP="00FE4B56"/>
    <w:p w14:paraId="7DC59508" w14:textId="4CA7A5B3" w:rsidR="005A08E5" w:rsidRDefault="005A08E5" w:rsidP="00F804E4">
      <w:r>
        <w:rPr>
          <w:noProof/>
        </w:rPr>
        <w:drawing>
          <wp:inline distT="0" distB="0" distL="0" distR="0" wp14:anchorId="0C68F5F7" wp14:editId="00AC2FAC">
            <wp:extent cx="4625340" cy="2520102"/>
            <wp:effectExtent l="0" t="0" r="3810" b="0"/>
            <wp:docPr id="2" name="Picture 2" descr="Photo of the Riverwalk Live Oak Point. Looking across the Peace River at US 41 towards Punta Go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the Riverwalk Live Oak Point. Looking across the Peace River at US 41 towards Punta Gord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128" b="22225"/>
                    <a:stretch/>
                  </pic:blipFill>
                  <pic:spPr bwMode="auto">
                    <a:xfrm>
                      <a:off x="0" y="0"/>
                      <a:ext cx="4625340" cy="2520102"/>
                    </a:xfrm>
                    <a:prstGeom prst="rect">
                      <a:avLst/>
                    </a:prstGeom>
                    <a:noFill/>
                    <a:ln>
                      <a:noFill/>
                    </a:ln>
                    <a:extLst>
                      <a:ext uri="{53640926-AAD7-44D8-BBD7-CCE9431645EC}">
                        <a14:shadowObscured xmlns:a14="http://schemas.microsoft.com/office/drawing/2010/main"/>
                      </a:ext>
                    </a:extLst>
                  </pic:spPr>
                </pic:pic>
              </a:graphicData>
            </a:graphic>
          </wp:inline>
        </w:drawing>
      </w:r>
      <w:r w:rsidR="00A50850">
        <w:rPr>
          <w:noProof/>
        </w:rPr>
        <mc:AlternateContent>
          <mc:Choice Requires="wps">
            <w:drawing>
              <wp:inline distT="0" distB="0" distL="0" distR="0" wp14:anchorId="764ADC9F" wp14:editId="5800F283">
                <wp:extent cx="1234440" cy="2514600"/>
                <wp:effectExtent l="0" t="0" r="3810" b="0"/>
                <wp:docPr id="3" name="Text Box 2" descr="The Riverwalk Live Oak Point was dedicated by the Board of County Commissioners on June 2, 2016 and connects with the Riverwalk to the west under US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514600"/>
                        </a:xfrm>
                        <a:prstGeom prst="rect">
                          <a:avLst/>
                        </a:prstGeom>
                        <a:solidFill>
                          <a:srgbClr val="FFFFFF"/>
                        </a:solidFill>
                        <a:ln w="9525">
                          <a:noFill/>
                          <a:miter lim="800000"/>
                          <a:headEnd/>
                          <a:tailEnd/>
                        </a:ln>
                      </wps:spPr>
                      <wps:txbx>
                        <w:txbxContent>
                          <w:p w14:paraId="38FE1375" w14:textId="597748D7" w:rsidR="00A50850" w:rsidRPr="00A50850" w:rsidRDefault="00A50850" w:rsidP="00A50850">
                            <w:pPr>
                              <w:rPr>
                                <w:i/>
                                <w:iCs/>
                              </w:rPr>
                            </w:pPr>
                            <w:r>
                              <w:rPr>
                                <w:i/>
                                <w:iCs/>
                              </w:rPr>
                              <w:t xml:space="preserve">The Riverwalk Live Oak Point was dedicated by the </w:t>
                            </w:r>
                            <w:r w:rsidRPr="00A50850">
                              <w:rPr>
                                <w:i/>
                                <w:iCs/>
                              </w:rPr>
                              <w:t>Board of County Commissioners on June 2, 2016</w:t>
                            </w:r>
                            <w:r>
                              <w:rPr>
                                <w:i/>
                                <w:iCs/>
                              </w:rPr>
                              <w:t xml:space="preserve"> and connects with the Riverwalk to the west under US 41.</w:t>
                            </w:r>
                          </w:p>
                        </w:txbxContent>
                      </wps:txbx>
                      <wps:bodyPr rot="0" vert="horz" wrap="square" lIns="91440" tIns="45720" rIns="91440" bIns="45720" anchor="t" anchorCtr="0">
                        <a:noAutofit/>
                      </wps:bodyPr>
                    </wps:wsp>
                  </a:graphicData>
                </a:graphic>
              </wp:inline>
            </w:drawing>
          </mc:Choice>
          <mc:Fallback>
            <w:pict>
              <v:shape w14:anchorId="764ADC9F" id="_x0000_s1027" type="#_x0000_t202" alt="The Riverwalk Live Oak Point was dedicated by the Board of County Commissioners on June 2, 2016 and connects with the Riverwalk to the west under US 41." style="width:97.2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" stroked="f">
                <v:textbox>
                  <w:txbxContent>
                    <w:p w14:paraId="38FE1375" w14:textId="597748D7" w:rsidR="00A50850" w:rsidRPr="00A50850" w:rsidRDefault="00A50850" w:rsidP="00A50850">
                      <w:pPr>
                        <w:rPr>
                          <w:i/>
                          <w:iCs/>
                        </w:rPr>
                      </w:pPr>
                      <w:r>
                        <w:rPr>
                          <w:i/>
                          <w:iCs/>
                        </w:rPr>
                        <w:t xml:space="preserve">The Riverwalk Live Oak Point was dedicated by the </w:t>
                      </w:r>
                      <w:r w:rsidRPr="00A50850">
                        <w:rPr>
                          <w:i/>
                          <w:iCs/>
                        </w:rPr>
                        <w:t>Board of County Commissioners on June 2, 2016</w:t>
                      </w:r>
                      <w:r>
                        <w:rPr>
                          <w:i/>
                          <w:iCs/>
                        </w:rPr>
                        <w:t xml:space="preserve"> and connects with the Riverwalk to the west under US 41.</w:t>
                      </w:r>
                    </w:p>
                  </w:txbxContent>
                </v:textbox>
                <w10:anchorlock/>
              </v:shape>
            </w:pict>
          </mc:Fallback>
        </mc:AlternateContent>
      </w:r>
    </w:p>
    <w:p w14:paraId="3E794A03" w14:textId="63F08119" w:rsidR="00FE4B56" w:rsidRPr="00CA6F3D" w:rsidRDefault="00AE0039" w:rsidP="00CA6F3D">
      <w:pPr>
        <w:pStyle w:val="Heading2"/>
      </w:pPr>
      <w:bookmarkStart w:id="11" w:name="_Toc55197900"/>
      <w:r w:rsidRPr="00CA6F3D">
        <w:lastRenderedPageBreak/>
        <w:t>About this Document</w:t>
      </w:r>
      <w:bookmarkEnd w:id="11"/>
    </w:p>
    <w:p w14:paraId="4E193705" w14:textId="75221BFA" w:rsidR="00FE4B56" w:rsidRDefault="00FE4B56" w:rsidP="00F804E4">
      <w:pPr>
        <w:spacing w:line="22" w:lineRule="atLeast"/>
      </w:pPr>
      <w:r>
        <w:t>Route to 2045</w:t>
      </w:r>
      <w:r w:rsidRPr="009E793C">
        <w:t xml:space="preserve"> is organized into </w:t>
      </w:r>
      <w:r w:rsidR="00F804E4">
        <w:t>10</w:t>
      </w:r>
      <w:r w:rsidRPr="009E793C">
        <w:t xml:space="preserve"> </w:t>
      </w:r>
      <w:r w:rsidR="006F4094">
        <w:t>chapters</w:t>
      </w:r>
      <w:r w:rsidRPr="009E793C">
        <w:t>, as follows</w:t>
      </w:r>
      <w:r w:rsidR="00AE0039">
        <w:t>:</w:t>
      </w:r>
    </w:p>
    <w:p w14:paraId="3860A42B" w14:textId="77777777" w:rsidR="00FE4B56" w:rsidRDefault="006F4094" w:rsidP="00F804E4">
      <w:pPr>
        <w:spacing w:line="22" w:lineRule="atLeast"/>
      </w:pPr>
      <w:r w:rsidRPr="00C576BD">
        <w:rPr>
          <w:b/>
          <w:bCs/>
        </w:rPr>
        <w:t>Chapter</w:t>
      </w:r>
      <w:r w:rsidR="00FE4B56" w:rsidRPr="00C576BD">
        <w:rPr>
          <w:b/>
          <w:bCs/>
        </w:rPr>
        <w:t xml:space="preserve"> 1</w:t>
      </w:r>
      <w:r w:rsidR="00AE0039" w:rsidRPr="00C576BD">
        <w:rPr>
          <w:b/>
          <w:bCs/>
        </w:rPr>
        <w:t>:</w:t>
      </w:r>
      <w:r w:rsidR="00425258" w:rsidRPr="00C576BD">
        <w:rPr>
          <w:b/>
          <w:bCs/>
        </w:rPr>
        <w:t xml:space="preserve"> Introduction</w:t>
      </w:r>
      <w:r w:rsidR="00425258">
        <w:t xml:space="preserve"> </w:t>
      </w:r>
      <w:r w:rsidR="00425258" w:rsidRPr="00C576BD">
        <w:rPr>
          <w:b/>
          <w:bCs/>
        </w:rPr>
        <w:t>–</w:t>
      </w:r>
      <w:r w:rsidR="00425258">
        <w:t xml:space="preserve"> </w:t>
      </w:r>
      <w:r w:rsidR="00AE0039">
        <w:t xml:space="preserve">This </w:t>
      </w:r>
      <w:r>
        <w:t>chapter</w:t>
      </w:r>
      <w:r w:rsidR="00AE0039">
        <w:t xml:space="preserve"> introduces the plan, the purpose of the plan, and why the plan is updated every five years.</w:t>
      </w:r>
    </w:p>
    <w:p w14:paraId="6E86C7EE" w14:textId="145B23E7" w:rsidR="00FE4B56" w:rsidRDefault="006F4094" w:rsidP="00F804E4">
      <w:pPr>
        <w:spacing w:line="22" w:lineRule="atLeast"/>
      </w:pPr>
      <w:r w:rsidRPr="00C576BD">
        <w:rPr>
          <w:b/>
          <w:bCs/>
        </w:rPr>
        <w:t>Chapter</w:t>
      </w:r>
      <w:r w:rsidR="00FE4B56" w:rsidRPr="00C576BD">
        <w:rPr>
          <w:b/>
          <w:bCs/>
        </w:rPr>
        <w:t xml:space="preserve"> 2</w:t>
      </w:r>
      <w:r w:rsidR="00AE0039" w:rsidRPr="00C576BD">
        <w:rPr>
          <w:b/>
          <w:bCs/>
        </w:rPr>
        <w:t>:</w:t>
      </w:r>
      <w:r w:rsidR="00425258" w:rsidRPr="00C576BD">
        <w:rPr>
          <w:b/>
          <w:bCs/>
        </w:rPr>
        <w:t xml:space="preserve"> 2045 LRTP Guidance</w:t>
      </w:r>
      <w:r w:rsidR="00AE0039" w:rsidRPr="00C576BD">
        <w:rPr>
          <w:b/>
          <w:bCs/>
        </w:rPr>
        <w:t xml:space="preserve"> </w:t>
      </w:r>
      <w:r w:rsidR="00425258" w:rsidRPr="00C576BD">
        <w:rPr>
          <w:b/>
          <w:bCs/>
        </w:rPr>
        <w:t xml:space="preserve">– </w:t>
      </w:r>
      <w:r w:rsidR="00AE0039">
        <w:t xml:space="preserve">This </w:t>
      </w:r>
      <w:r>
        <w:t>chapter</w:t>
      </w:r>
      <w:r w:rsidR="00AE0039">
        <w:t xml:space="preserve"> presents the MPO’s policy-related goals and objectives adopted by the MPO Board to guide the </w:t>
      </w:r>
      <w:r w:rsidR="007035AB">
        <w:t xml:space="preserve">plan </w:t>
      </w:r>
      <w:r w:rsidR="00AE0039">
        <w:t xml:space="preserve">development process, compliance with federal and state guidelines, and the effectiveness </w:t>
      </w:r>
      <w:r w:rsidR="007035AB">
        <w:t xml:space="preserve">measures </w:t>
      </w:r>
      <w:r w:rsidR="00AE0039">
        <w:t xml:space="preserve">used to </w:t>
      </w:r>
      <w:r w:rsidR="003C3CD1">
        <w:t>evaluate</w:t>
      </w:r>
      <w:r w:rsidR="007035AB">
        <w:t xml:space="preserve"> the performance of the cost feasible plan. </w:t>
      </w:r>
      <w:r w:rsidR="00B11C0B">
        <w:t>Included in this chapter i</w:t>
      </w:r>
      <w:r w:rsidR="00B11C0B" w:rsidRPr="00B11C0B">
        <w:t xml:space="preserve">s </w:t>
      </w:r>
      <w:r w:rsidR="00B11C0B" w:rsidRPr="00CB3692">
        <w:t>the Existing Plus Committed (E+C) Network that outlines the existing transportation system with the improvements committed to be built by 2025</w:t>
      </w:r>
      <w:r w:rsidR="007035AB">
        <w:t xml:space="preserve"> through the TIP</w:t>
      </w:r>
      <w:r w:rsidR="00B11C0B">
        <w:t>.</w:t>
      </w:r>
    </w:p>
    <w:p w14:paraId="43B0EC26" w14:textId="26CB6C24" w:rsidR="00FE4B56" w:rsidRDefault="006F4094" w:rsidP="00F804E4">
      <w:pPr>
        <w:spacing w:line="22" w:lineRule="atLeast"/>
      </w:pPr>
      <w:r w:rsidRPr="00C576BD">
        <w:rPr>
          <w:b/>
          <w:bCs/>
        </w:rPr>
        <w:t>Chapter</w:t>
      </w:r>
      <w:r w:rsidR="00FE4B56" w:rsidRPr="00C576BD">
        <w:rPr>
          <w:b/>
          <w:bCs/>
        </w:rPr>
        <w:t xml:space="preserve"> 3</w:t>
      </w:r>
      <w:r w:rsidR="00AE0039" w:rsidRPr="00C576BD">
        <w:rPr>
          <w:b/>
          <w:bCs/>
        </w:rPr>
        <w:t>:</w:t>
      </w:r>
      <w:r w:rsidR="00425258" w:rsidRPr="00C576BD">
        <w:rPr>
          <w:b/>
          <w:bCs/>
        </w:rPr>
        <w:t xml:space="preserve"> Future Population and Employment Growth – </w:t>
      </w:r>
      <w:r w:rsidR="00AE0039">
        <w:t xml:space="preserve">This </w:t>
      </w:r>
      <w:r>
        <w:t>chapter</w:t>
      </w:r>
      <w:r w:rsidR="00AE0039">
        <w:t xml:space="preserve"> presents the approach and planning assumptions used in the plan, including the anticipated population and employment growth.</w:t>
      </w:r>
    </w:p>
    <w:p w14:paraId="75603CDA" w14:textId="0D40635B" w:rsidR="00FE4B56" w:rsidRDefault="006F4094" w:rsidP="00F804E4">
      <w:pPr>
        <w:spacing w:line="22" w:lineRule="atLeast"/>
      </w:pPr>
      <w:r w:rsidRPr="00C576BD">
        <w:rPr>
          <w:b/>
          <w:bCs/>
        </w:rPr>
        <w:t>Chapter</w:t>
      </w:r>
      <w:r w:rsidR="00FE4B56" w:rsidRPr="00C576BD">
        <w:rPr>
          <w:b/>
          <w:bCs/>
        </w:rPr>
        <w:t xml:space="preserve"> 4</w:t>
      </w:r>
      <w:r w:rsidR="00DA762D" w:rsidRPr="00C576BD">
        <w:rPr>
          <w:b/>
          <w:bCs/>
        </w:rPr>
        <w:t xml:space="preserve">: </w:t>
      </w:r>
      <w:r w:rsidR="00425258" w:rsidRPr="00C576BD">
        <w:rPr>
          <w:b/>
          <w:bCs/>
        </w:rPr>
        <w:t xml:space="preserve">2045 LRTP Public Participation – </w:t>
      </w:r>
      <w:r w:rsidR="00DA762D">
        <w:t xml:space="preserve">This </w:t>
      </w:r>
      <w:r>
        <w:t>chapter</w:t>
      </w:r>
      <w:r w:rsidR="00DA762D">
        <w:t xml:space="preserve"> outlines the public engagement process taken throughout the update of the Route to 2045 LRTP.</w:t>
      </w:r>
    </w:p>
    <w:p w14:paraId="7A304FA1" w14:textId="411E4F41" w:rsidR="008B44E0" w:rsidRDefault="008B44E0" w:rsidP="00F804E4">
      <w:pPr>
        <w:spacing w:line="22" w:lineRule="atLeast"/>
      </w:pPr>
      <w:r w:rsidRPr="00C576BD">
        <w:rPr>
          <w:b/>
          <w:bCs/>
        </w:rPr>
        <w:t xml:space="preserve">Chapter </w:t>
      </w:r>
      <w:r>
        <w:rPr>
          <w:b/>
          <w:bCs/>
        </w:rPr>
        <w:t>5</w:t>
      </w:r>
      <w:r w:rsidRPr="00C576BD">
        <w:rPr>
          <w:b/>
          <w:bCs/>
        </w:rPr>
        <w:t xml:space="preserve">: </w:t>
      </w:r>
      <w:r>
        <w:rPr>
          <w:b/>
          <w:bCs/>
        </w:rPr>
        <w:t xml:space="preserve">Environment/Socio-Cultural </w:t>
      </w:r>
      <w:r w:rsidRPr="00C576BD">
        <w:rPr>
          <w:b/>
          <w:bCs/>
        </w:rPr>
        <w:t>–</w:t>
      </w:r>
      <w:r w:rsidRPr="008B44E0">
        <w:t xml:space="preserve"> </w:t>
      </w:r>
      <w:r>
        <w:t xml:space="preserve">This chapter provides </w:t>
      </w:r>
      <w:r w:rsidRPr="00F804E4">
        <w:t xml:space="preserve">and overview of the natural and human environments by describing the environmental, socio-cultural resources, and community resources within Charlotte County. This chapter also outlines the strategies available for mitigating environmental impacts as well as identifying populations groups that have traditionally experienced disproportionately high and adverse effects from transportation funding decisions </w:t>
      </w:r>
      <w:r w:rsidR="00F804E4" w:rsidRPr="00F804E4">
        <w:t>under the E</w:t>
      </w:r>
      <w:r w:rsidRPr="00F804E4">
        <w:t xml:space="preserve">nvironmental </w:t>
      </w:r>
      <w:r w:rsidR="00F804E4" w:rsidRPr="00F804E4">
        <w:t>J</w:t>
      </w:r>
      <w:r w:rsidRPr="00F804E4">
        <w:t xml:space="preserve">ustice </w:t>
      </w:r>
      <w:r w:rsidR="00F804E4" w:rsidRPr="00F804E4">
        <w:t>definition</w:t>
      </w:r>
      <w:r w:rsidRPr="00F804E4">
        <w:t>.</w:t>
      </w:r>
    </w:p>
    <w:p w14:paraId="04EA2788" w14:textId="6D654552" w:rsidR="008B44E0" w:rsidRDefault="008B44E0" w:rsidP="00F804E4">
      <w:pPr>
        <w:spacing w:line="22" w:lineRule="atLeast"/>
      </w:pPr>
      <w:r w:rsidRPr="00C576BD">
        <w:rPr>
          <w:b/>
          <w:bCs/>
        </w:rPr>
        <w:t xml:space="preserve">Chapter </w:t>
      </w:r>
      <w:r w:rsidR="00F804E4">
        <w:rPr>
          <w:b/>
          <w:bCs/>
        </w:rPr>
        <w:t>6</w:t>
      </w:r>
      <w:r w:rsidRPr="00C576BD">
        <w:rPr>
          <w:b/>
          <w:bCs/>
        </w:rPr>
        <w:t xml:space="preserve">: </w:t>
      </w:r>
      <w:r w:rsidR="00F804E4">
        <w:rPr>
          <w:b/>
          <w:bCs/>
        </w:rPr>
        <w:t>Congestion Management Process</w:t>
      </w:r>
      <w:r w:rsidRPr="00C576BD">
        <w:rPr>
          <w:b/>
          <w:bCs/>
        </w:rPr>
        <w:t>–</w:t>
      </w:r>
      <w:r w:rsidRPr="008B44E0">
        <w:t xml:space="preserve"> </w:t>
      </w:r>
      <w:r w:rsidRPr="00F804E4">
        <w:t xml:space="preserve">This chapter outlines the </w:t>
      </w:r>
      <w:r w:rsidR="00F804E4" w:rsidRPr="00F804E4">
        <w:t xml:space="preserve">process followed by the Charlotte County-Punta Gorda MPO </w:t>
      </w:r>
      <w:r w:rsidRPr="00F804E4">
        <w:t xml:space="preserve">to </w:t>
      </w:r>
      <w:r w:rsidR="00F804E4" w:rsidRPr="00F804E4">
        <w:t xml:space="preserve">reduce congestion and improve </w:t>
      </w:r>
      <w:r w:rsidRPr="00F804E4">
        <w:t xml:space="preserve">safety </w:t>
      </w:r>
      <w:r w:rsidR="00182381" w:rsidRPr="00F804E4">
        <w:t>using</w:t>
      </w:r>
      <w:r w:rsidR="00F804E4" w:rsidRPr="00F804E4">
        <w:t xml:space="preserve"> </w:t>
      </w:r>
      <w:r w:rsidRPr="00F804E4">
        <w:t>operational</w:t>
      </w:r>
      <w:r w:rsidR="00F804E4" w:rsidRPr="00F804E4">
        <w:t xml:space="preserve"> and travel demand strategies.</w:t>
      </w:r>
    </w:p>
    <w:p w14:paraId="080B693D" w14:textId="34BA1CA9" w:rsidR="00FE4B56" w:rsidRDefault="006F4094" w:rsidP="00F804E4">
      <w:pPr>
        <w:spacing w:line="22" w:lineRule="atLeast"/>
      </w:pPr>
      <w:r w:rsidRPr="00C576BD">
        <w:rPr>
          <w:b/>
          <w:bCs/>
        </w:rPr>
        <w:t>Chapter</w:t>
      </w:r>
      <w:r w:rsidR="00FE4B56" w:rsidRPr="00C576BD">
        <w:rPr>
          <w:b/>
          <w:bCs/>
        </w:rPr>
        <w:t xml:space="preserve"> </w:t>
      </w:r>
      <w:r w:rsidR="008B44E0">
        <w:rPr>
          <w:b/>
          <w:bCs/>
        </w:rPr>
        <w:t>7</w:t>
      </w:r>
      <w:r w:rsidR="00DA762D" w:rsidRPr="00C576BD">
        <w:rPr>
          <w:b/>
          <w:bCs/>
        </w:rPr>
        <w:t xml:space="preserve">: </w:t>
      </w:r>
      <w:r w:rsidR="00425258" w:rsidRPr="00C576BD">
        <w:rPr>
          <w:b/>
          <w:bCs/>
        </w:rPr>
        <w:t xml:space="preserve">2045 Needs – </w:t>
      </w:r>
      <w:r w:rsidR="001A05BF">
        <w:t xml:space="preserve">This </w:t>
      </w:r>
      <w:r>
        <w:t>chapter</w:t>
      </w:r>
      <w:r w:rsidR="001A05BF">
        <w:t xml:space="preserve"> outlines the </w:t>
      </w:r>
      <w:r w:rsidR="007035AB">
        <w:t xml:space="preserve">multimodal </w:t>
      </w:r>
      <w:r w:rsidR="001A05BF">
        <w:t xml:space="preserve">Needs Plan for all </w:t>
      </w:r>
      <w:r w:rsidR="007035AB">
        <w:t xml:space="preserve">transportation </w:t>
      </w:r>
      <w:r w:rsidR="001A05BF">
        <w:t xml:space="preserve">modes. The Needs Plan includes roads (highway), public transportation (transit), and bicycle and pedestrian improvements identified as needed without financial constraints applied. </w:t>
      </w:r>
      <w:r w:rsidR="006F17DB">
        <w:t>Also, t</w:t>
      </w:r>
      <w:r w:rsidR="001A05BF">
        <w:t xml:space="preserve">his </w:t>
      </w:r>
      <w:r>
        <w:t>chapter</w:t>
      </w:r>
      <w:r w:rsidR="001A05BF">
        <w:t xml:space="preserve"> outlines the following elements of the transportation program: goods movement, transportation safety and security (including hazard mitigation), assessment of the socio-cultural effects, environmental mitigation, and advancing technologies.</w:t>
      </w:r>
    </w:p>
    <w:p w14:paraId="38D10E52" w14:textId="513D9DB0" w:rsidR="00FE4B56" w:rsidRDefault="006F4094" w:rsidP="00F804E4">
      <w:pPr>
        <w:autoSpaceDE w:val="0"/>
        <w:autoSpaceDN w:val="0"/>
        <w:adjustRightInd w:val="0"/>
        <w:spacing w:line="22" w:lineRule="atLeast"/>
      </w:pPr>
      <w:r w:rsidRPr="00C576BD">
        <w:rPr>
          <w:b/>
          <w:bCs/>
        </w:rPr>
        <w:t>Chapter</w:t>
      </w:r>
      <w:r w:rsidR="00FE4B56" w:rsidRPr="00C576BD">
        <w:rPr>
          <w:b/>
          <w:bCs/>
        </w:rPr>
        <w:t xml:space="preserve"> </w:t>
      </w:r>
      <w:r w:rsidR="008B44E0">
        <w:rPr>
          <w:b/>
          <w:bCs/>
        </w:rPr>
        <w:t>8</w:t>
      </w:r>
      <w:r w:rsidR="001A05BF" w:rsidRPr="00C576BD">
        <w:rPr>
          <w:b/>
          <w:bCs/>
        </w:rPr>
        <w:t>:</w:t>
      </w:r>
      <w:r w:rsidR="00425258" w:rsidRPr="00C576BD">
        <w:rPr>
          <w:b/>
          <w:bCs/>
        </w:rPr>
        <w:t xml:space="preserve"> 2045 </w:t>
      </w:r>
      <w:r w:rsidR="000D7D90">
        <w:rPr>
          <w:b/>
          <w:bCs/>
        </w:rPr>
        <w:t xml:space="preserve">Cost </w:t>
      </w:r>
      <w:r w:rsidR="00425258" w:rsidRPr="00C576BD">
        <w:rPr>
          <w:b/>
          <w:bCs/>
        </w:rPr>
        <w:t>Feasible Plan</w:t>
      </w:r>
      <w:r w:rsidR="001A05BF">
        <w:t xml:space="preserve"> </w:t>
      </w:r>
      <w:r w:rsidR="00425258" w:rsidRPr="00C576BD">
        <w:rPr>
          <w:b/>
          <w:bCs/>
        </w:rPr>
        <w:t>–</w:t>
      </w:r>
      <w:r w:rsidR="00425258">
        <w:t xml:space="preserve"> </w:t>
      </w:r>
      <w:r w:rsidR="00425258" w:rsidRPr="00425258">
        <w:t xml:space="preserve">This </w:t>
      </w:r>
      <w:r>
        <w:t>chapter</w:t>
      </w:r>
      <w:r w:rsidR="00425258" w:rsidRPr="00425258">
        <w:t xml:space="preserve"> outlines the </w:t>
      </w:r>
      <w:r w:rsidR="007035AB">
        <w:t xml:space="preserve">project prioritization process </w:t>
      </w:r>
      <w:r w:rsidR="00425258" w:rsidRPr="00425258">
        <w:t xml:space="preserve">and </w:t>
      </w:r>
      <w:r w:rsidR="007035AB">
        <w:t xml:space="preserve">assumptions of reasonably available revenues for transportation. Using these assumptions, the needed transportation projects are narrowed down to </w:t>
      </w:r>
      <w:r w:rsidR="00425258" w:rsidRPr="00425258">
        <w:t xml:space="preserve">create </w:t>
      </w:r>
      <w:r w:rsidR="007035AB">
        <w:t xml:space="preserve">the </w:t>
      </w:r>
      <w:r w:rsidR="00425258" w:rsidRPr="00425258">
        <w:t>fiscally constrained Cost Feasible Plan.</w:t>
      </w:r>
    </w:p>
    <w:p w14:paraId="471F2C5E" w14:textId="19D07896" w:rsidR="00FE4B56" w:rsidRDefault="006F4094" w:rsidP="00F804E4">
      <w:pPr>
        <w:spacing w:line="22" w:lineRule="atLeast"/>
      </w:pPr>
      <w:r w:rsidRPr="00C576BD">
        <w:rPr>
          <w:b/>
          <w:bCs/>
        </w:rPr>
        <w:t>Chapter</w:t>
      </w:r>
      <w:r w:rsidR="00FE4B56" w:rsidRPr="00C576BD">
        <w:rPr>
          <w:b/>
          <w:bCs/>
        </w:rPr>
        <w:t xml:space="preserve"> </w:t>
      </w:r>
      <w:r w:rsidR="008B44E0">
        <w:rPr>
          <w:b/>
          <w:bCs/>
        </w:rPr>
        <w:t>9</w:t>
      </w:r>
      <w:r w:rsidR="001A05BF" w:rsidRPr="00C576BD">
        <w:rPr>
          <w:b/>
          <w:bCs/>
        </w:rPr>
        <w:t>:</w:t>
      </w:r>
      <w:r w:rsidR="00425258" w:rsidRPr="00C576BD">
        <w:rPr>
          <w:b/>
          <w:bCs/>
        </w:rPr>
        <w:t xml:space="preserve"> Plan Performance</w:t>
      </w:r>
      <w:r w:rsidR="001A05BF" w:rsidRPr="00C576BD">
        <w:rPr>
          <w:b/>
          <w:bCs/>
        </w:rPr>
        <w:t xml:space="preserve"> </w:t>
      </w:r>
      <w:r w:rsidR="00425258" w:rsidRPr="00C576BD">
        <w:rPr>
          <w:b/>
          <w:bCs/>
        </w:rPr>
        <w:t xml:space="preserve">– </w:t>
      </w:r>
      <w:r w:rsidR="00425258">
        <w:t xml:space="preserve">This </w:t>
      </w:r>
      <w:r>
        <w:t>chapter</w:t>
      </w:r>
      <w:r w:rsidR="00425258">
        <w:t xml:space="preserve"> describes the performance of the 204</w:t>
      </w:r>
      <w:r w:rsidR="00CB3692">
        <w:t>5</w:t>
      </w:r>
      <w:r w:rsidR="00425258">
        <w:t xml:space="preserve"> Cost Feasible transportation network compared to the E+C Network.</w:t>
      </w:r>
    </w:p>
    <w:p w14:paraId="4AA3D466" w14:textId="5D35FA3B" w:rsidR="00C576BD" w:rsidRDefault="006F4094" w:rsidP="00F804E4">
      <w:pPr>
        <w:spacing w:line="22" w:lineRule="atLeast"/>
      </w:pPr>
      <w:r w:rsidRPr="00C576BD">
        <w:rPr>
          <w:b/>
          <w:bCs/>
        </w:rPr>
        <w:t>Chapter</w:t>
      </w:r>
      <w:r w:rsidR="00A26090" w:rsidRPr="00C576BD">
        <w:rPr>
          <w:b/>
          <w:bCs/>
        </w:rPr>
        <w:t xml:space="preserve"> </w:t>
      </w:r>
      <w:r w:rsidR="008B44E0">
        <w:rPr>
          <w:b/>
          <w:bCs/>
        </w:rPr>
        <w:t>10</w:t>
      </w:r>
      <w:r w:rsidR="00A26090" w:rsidRPr="00C576BD">
        <w:rPr>
          <w:b/>
          <w:bCs/>
        </w:rPr>
        <w:t>:</w:t>
      </w:r>
      <w:r w:rsidR="00800BB5" w:rsidRPr="00C576BD">
        <w:rPr>
          <w:b/>
          <w:bCs/>
        </w:rPr>
        <w:t xml:space="preserve"> </w:t>
      </w:r>
      <w:r w:rsidR="00425258" w:rsidRPr="00C576BD">
        <w:rPr>
          <w:b/>
          <w:bCs/>
        </w:rPr>
        <w:t xml:space="preserve">Realizing the Route to 2045 – </w:t>
      </w:r>
      <w:r w:rsidR="00425258">
        <w:t xml:space="preserve">This chapter documents issues and activities the MPO </w:t>
      </w:r>
      <w:r w:rsidR="007035AB">
        <w:t xml:space="preserve">will need to </w:t>
      </w:r>
      <w:r w:rsidR="00425258">
        <w:t xml:space="preserve">consider </w:t>
      </w:r>
      <w:r w:rsidR="007035AB">
        <w:t>in implementing the projects and objectives of the LRTP.</w:t>
      </w:r>
      <w:bookmarkEnd w:id="2"/>
    </w:p>
    <w:sectPr w:rsidR="00C576BD" w:rsidSect="00B06D91">
      <w:headerReference w:type="default" r:id="rId19"/>
      <w:footerReference w:type="default" r:id="rId20"/>
      <w:pgSz w:w="12240" w:h="15840" w:code="1"/>
      <w:pgMar w:top="1800" w:right="1440" w:bottom="1152"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9B854" w14:textId="77777777" w:rsidR="004B4CB4" w:rsidRDefault="004B4CB4" w:rsidP="00EF6164">
      <w:pPr>
        <w:spacing w:after="0" w:line="240" w:lineRule="auto"/>
      </w:pPr>
      <w:r>
        <w:separator/>
      </w:r>
    </w:p>
  </w:endnote>
  <w:endnote w:type="continuationSeparator" w:id="0">
    <w:p w14:paraId="049EA63C" w14:textId="77777777" w:rsidR="004B4CB4" w:rsidRDefault="004B4CB4" w:rsidP="00EF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F7D69" w14:textId="77777777" w:rsidR="00DC0AB2" w:rsidRPr="00EF6164" w:rsidRDefault="00DC0AB2">
    <w:pPr>
      <w:pStyle w:val="Footer"/>
    </w:pPr>
    <w:r>
      <w:rPr>
        <w:b/>
        <w:noProof/>
      </w:rPr>
      <mc:AlternateContent>
        <mc:Choice Requires="wps">
          <w:drawing>
            <wp:anchor distT="0" distB="0" distL="114300" distR="114300" simplePos="0" relativeHeight="251662336" behindDoc="1" locked="0" layoutInCell="1" allowOverlap="1" wp14:anchorId="07735D11" wp14:editId="0068AC69">
              <wp:simplePos x="0" y="0"/>
              <wp:positionH relativeFrom="page">
                <wp:posOffset>0</wp:posOffset>
              </wp:positionH>
              <wp:positionV relativeFrom="paragraph">
                <wp:posOffset>-61504</wp:posOffset>
              </wp:positionV>
              <wp:extent cx="7772400" cy="301716"/>
              <wp:effectExtent l="0" t="0" r="0" b="31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5DD32" id="Rectangle 6" o:spid="_x0000_s1026" alt="&quot;&quot;" style="position:absolute;margin-left:0;margin-top:-4.85pt;width:612pt;height:23.75pt;z-index:-2516541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" fillcolor="#d8d8d8 [2732]" stroked="f" strokeweight="1pt">
              <w10:wrap anchorx="page"/>
            </v:rect>
          </w:pict>
        </mc:Fallback>
      </mc:AlternateContent>
    </w:r>
    <w:r w:rsidRPr="00EF6164">
      <w:rPr>
        <w:b/>
      </w:rPr>
      <w:t>2045 Long Range Transportation Plan |</w:t>
    </w:r>
    <w:r>
      <w:t xml:space="preserve"> </w:t>
    </w:r>
    <w:r w:rsidRPr="00EF6164">
      <w:rPr>
        <w:i/>
      </w:rPr>
      <w:t>Title of Report</w:t>
    </w:r>
    <w:r>
      <w:rPr>
        <w:i/>
      </w:rP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C3022" w14:textId="6C8688DB" w:rsidR="00DC0AB2" w:rsidRPr="00EF6164" w:rsidRDefault="00DC0AB2" w:rsidP="004D03A4">
    <w:pPr>
      <w:pStyle w:val="Footer"/>
      <w:tabs>
        <w:tab w:val="right" w:pos="14400"/>
        <w:tab w:val="right" w:pos="20160"/>
      </w:tabs>
    </w:pPr>
    <w:r>
      <w:rPr>
        <w:b/>
        <w:noProof/>
      </w:rPr>
      <mc:AlternateContent>
        <mc:Choice Requires="wps">
          <w:drawing>
            <wp:anchor distT="0" distB="0" distL="114300" distR="114300" simplePos="0" relativeHeight="251671552" behindDoc="1" locked="0" layoutInCell="1" allowOverlap="1" wp14:anchorId="2AC7A859" wp14:editId="1E5365C7">
              <wp:simplePos x="0" y="0"/>
              <wp:positionH relativeFrom="page">
                <wp:posOffset>0</wp:posOffset>
              </wp:positionH>
              <wp:positionV relativeFrom="paragraph">
                <wp:posOffset>-60960</wp:posOffset>
              </wp:positionV>
              <wp:extent cx="7772400" cy="301716"/>
              <wp:effectExtent l="0" t="0" r="0" b="317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4AC37" id="Rectangle 13" o:spid="_x0000_s1026" alt="&quot;&quot;" style="position:absolute;margin-left:0;margin-top:-4.8pt;width:612pt;height:23.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" fillcolor="#d8d8d8 [2732]" stroked="f" strokeweight="1pt">
              <w10:wrap anchorx="page"/>
            </v:rect>
          </w:pict>
        </mc:Fallback>
      </mc:AlternateContent>
    </w:r>
    <w:r w:rsidRPr="00EF6164">
      <w:rPr>
        <w:b/>
      </w:rPr>
      <w:t>2045 Long Range Transportation Plan |</w:t>
    </w:r>
    <w:r>
      <w:t xml:space="preserve"> </w:t>
    </w:r>
    <w:r w:rsidR="005563B8">
      <w:rPr>
        <w:i/>
      </w:rPr>
      <w:t>Introduction</w:t>
    </w:r>
    <w:r>
      <w:rPr>
        <w:i/>
      </w:rP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38C14" w14:textId="3AAFF369" w:rsidR="00B06D91" w:rsidRPr="00EF6164" w:rsidRDefault="00B06D91" w:rsidP="00732037">
    <w:pPr>
      <w:pStyle w:val="Footer"/>
      <w:tabs>
        <w:tab w:val="right" w:pos="21510"/>
      </w:tabs>
    </w:pPr>
    <w:r>
      <w:rPr>
        <w:b/>
        <w:noProof/>
      </w:rPr>
      <mc:AlternateContent>
        <mc:Choice Requires="wps">
          <w:drawing>
            <wp:anchor distT="0" distB="0" distL="114300" distR="114300" simplePos="0" relativeHeight="251680768" behindDoc="1" locked="0" layoutInCell="1" allowOverlap="1" wp14:anchorId="09B1CE5C" wp14:editId="071D9D54">
              <wp:simplePos x="0" y="0"/>
              <wp:positionH relativeFrom="page">
                <wp:posOffset>0</wp:posOffset>
              </wp:positionH>
              <wp:positionV relativeFrom="paragraph">
                <wp:posOffset>-62230</wp:posOffset>
              </wp:positionV>
              <wp:extent cx="15544800" cy="301716"/>
              <wp:effectExtent l="0" t="0" r="0" b="317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75737" id="Rectangle 9" o:spid="_x0000_s1026" alt="&quot;&quot;" style="position:absolute;margin-left:0;margin-top:-4.9pt;width:17in;height:23.7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" fillcolor="#d8d8d8 [2732]" stroked="f" strokeweight="1pt">
              <w10:wrap anchorx="page"/>
            </v:rect>
          </w:pict>
        </mc:Fallback>
      </mc:AlternateContent>
    </w:r>
    <w:r w:rsidRPr="00EF6164">
      <w:rPr>
        <w:b/>
      </w:rPr>
      <w:t>2045 Long Range Transportation Plan |</w:t>
    </w:r>
    <w:r>
      <w:t xml:space="preserve"> </w:t>
    </w:r>
    <w:r>
      <w:rPr>
        <w:i/>
      </w:rPr>
      <w:t>Introduction</w:t>
    </w:r>
    <w:r>
      <w:rPr>
        <w:i/>
      </w:rPr>
      <w:tab/>
    </w:r>
    <w:r>
      <w:rPr>
        <w:i/>
      </w:rPr>
      <w:tab/>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8A496" w14:textId="77777777" w:rsidR="00B06D91" w:rsidRPr="00EF6164" w:rsidRDefault="00B06D91" w:rsidP="004D03A4">
    <w:pPr>
      <w:pStyle w:val="Footer"/>
      <w:tabs>
        <w:tab w:val="right" w:pos="14400"/>
        <w:tab w:val="right" w:pos="20160"/>
      </w:tabs>
    </w:pPr>
    <w:r>
      <w:rPr>
        <w:b/>
        <w:noProof/>
      </w:rPr>
      <mc:AlternateContent>
        <mc:Choice Requires="wps">
          <w:drawing>
            <wp:anchor distT="0" distB="0" distL="114300" distR="114300" simplePos="0" relativeHeight="251684864" behindDoc="1" locked="0" layoutInCell="1" allowOverlap="1" wp14:anchorId="37CECA10" wp14:editId="132A8ACD">
              <wp:simplePos x="0" y="0"/>
              <wp:positionH relativeFrom="page">
                <wp:posOffset>0</wp:posOffset>
              </wp:positionH>
              <wp:positionV relativeFrom="paragraph">
                <wp:posOffset>-60960</wp:posOffset>
              </wp:positionV>
              <wp:extent cx="7772400" cy="301716"/>
              <wp:effectExtent l="0" t="0" r="0" b="31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6D42C" id="Rectangle 11" o:spid="_x0000_s1026" alt="&quot;&quot;" style="position:absolute;margin-left:0;margin-top:-4.8pt;width:612pt;height:23.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" fillcolor="#d8d8d8 [2732]" stroked="f" strokeweight="1pt">
              <w10:wrap anchorx="page"/>
            </v:rect>
          </w:pict>
        </mc:Fallback>
      </mc:AlternateContent>
    </w:r>
    <w:r w:rsidRPr="00EF6164">
      <w:rPr>
        <w:b/>
      </w:rPr>
      <w:t>2045 Long Range Transportation Plan |</w:t>
    </w:r>
    <w:r>
      <w:t xml:space="preserve"> </w:t>
    </w:r>
    <w:r>
      <w:rPr>
        <w:i/>
      </w:rPr>
      <w:t>Introduction</w:t>
    </w:r>
    <w:r>
      <w:rPr>
        <w:i/>
      </w:rP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B9792" w14:textId="77777777" w:rsidR="004B4CB4" w:rsidRDefault="004B4CB4" w:rsidP="00EF6164">
      <w:pPr>
        <w:spacing w:after="0" w:line="240" w:lineRule="auto"/>
      </w:pPr>
      <w:r>
        <w:separator/>
      </w:r>
    </w:p>
  </w:footnote>
  <w:footnote w:type="continuationSeparator" w:id="0">
    <w:p w14:paraId="03CA5153" w14:textId="77777777" w:rsidR="004B4CB4" w:rsidRDefault="004B4CB4" w:rsidP="00EF6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06872" w14:textId="77777777" w:rsidR="00DC0AB2" w:rsidRPr="00EF6164" w:rsidRDefault="00DC0AB2" w:rsidP="00EF6164">
    <w:pPr>
      <w:pStyle w:val="Header"/>
    </w:pPr>
    <w:r>
      <w:rPr>
        <w:noProof/>
      </w:rPr>
      <w:drawing>
        <wp:anchor distT="0" distB="0" distL="114300" distR="114300" simplePos="0" relativeHeight="251659264" behindDoc="1" locked="0" layoutInCell="1" allowOverlap="1" wp14:anchorId="1AB1B9DF" wp14:editId="0CB7C0B6">
          <wp:simplePos x="0" y="0"/>
          <wp:positionH relativeFrom="column">
            <wp:posOffset>-914400</wp:posOffset>
          </wp:positionH>
          <wp:positionV relativeFrom="paragraph">
            <wp:posOffset>-457200</wp:posOffset>
          </wp:positionV>
          <wp:extent cx="7772400" cy="1051560"/>
          <wp:effectExtent l="0" t="0" r="0" b="0"/>
          <wp:wrapNone/>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E4E3B" w14:textId="7D869870" w:rsidR="00DC0AB2" w:rsidRDefault="00FE4B56">
    <w:pPr>
      <w:pStyle w:val="Header"/>
    </w:pPr>
    <w:r>
      <w:rPr>
        <w:noProof/>
      </w:rPr>
      <w:drawing>
        <wp:anchor distT="0" distB="0" distL="114300" distR="114300" simplePos="0" relativeHeight="251674624" behindDoc="1" locked="0" layoutInCell="1" allowOverlap="1" wp14:anchorId="2F92F4AE" wp14:editId="4F8FA5AD">
          <wp:simplePos x="0" y="0"/>
          <wp:positionH relativeFrom="column">
            <wp:posOffset>-935370</wp:posOffset>
          </wp:positionH>
          <wp:positionV relativeFrom="paragraph">
            <wp:posOffset>-456698</wp:posOffset>
          </wp:positionV>
          <wp:extent cx="7800975" cy="10095429"/>
          <wp:effectExtent l="0" t="0" r="0" b="127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0975" cy="1009542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00BD7" w14:textId="5D44DCFB" w:rsidR="00DC0AB2" w:rsidRPr="00EF6164" w:rsidRDefault="00E22041" w:rsidP="00EF6164">
    <w:pPr>
      <w:pStyle w:val="Header"/>
    </w:pPr>
    <w:r>
      <w:rPr>
        <w:noProof/>
      </w:rPr>
      <w:drawing>
        <wp:anchor distT="0" distB="0" distL="114300" distR="114300" simplePos="0" relativeHeight="251676672" behindDoc="1" locked="0" layoutInCell="1" allowOverlap="1" wp14:anchorId="35DE6858" wp14:editId="64AA69EE">
          <wp:simplePos x="0" y="0"/>
          <wp:positionH relativeFrom="column">
            <wp:posOffset>-914400</wp:posOffset>
          </wp:positionH>
          <wp:positionV relativeFrom="paragraph">
            <wp:posOffset>-457200</wp:posOffset>
          </wp:positionV>
          <wp:extent cx="7772400" cy="105156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9808E" w14:textId="33C86246" w:rsidR="00B06D91" w:rsidRPr="00EF6164" w:rsidRDefault="00732037" w:rsidP="00EF6164">
    <w:pPr>
      <w:pStyle w:val="Header"/>
    </w:pPr>
    <w:r>
      <w:rPr>
        <w:noProof/>
      </w:rPr>
      <w:drawing>
        <wp:anchor distT="0" distB="0" distL="114300" distR="114300" simplePos="0" relativeHeight="251685888" behindDoc="1" locked="0" layoutInCell="1" allowOverlap="1" wp14:anchorId="661DF3F1" wp14:editId="33EAA0AE">
          <wp:simplePos x="0" y="0"/>
          <wp:positionH relativeFrom="page">
            <wp:align>left</wp:align>
          </wp:positionH>
          <wp:positionV relativeFrom="page">
            <wp:align>top</wp:align>
          </wp:positionV>
          <wp:extent cx="15544800" cy="1061292"/>
          <wp:effectExtent l="0" t="0" r="0" b="571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0" cy="10612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205D4" w14:textId="77777777" w:rsidR="00B06D91" w:rsidRPr="00EF6164" w:rsidRDefault="00B06D91" w:rsidP="00EF6164">
    <w:pPr>
      <w:pStyle w:val="Header"/>
    </w:pPr>
    <w:r>
      <w:rPr>
        <w:noProof/>
      </w:rPr>
      <w:drawing>
        <wp:anchor distT="0" distB="0" distL="114300" distR="114300" simplePos="0" relativeHeight="251682816" behindDoc="1" locked="0" layoutInCell="1" allowOverlap="1" wp14:anchorId="2FD650E9" wp14:editId="476425ED">
          <wp:simplePos x="0" y="0"/>
          <wp:positionH relativeFrom="page">
            <wp:align>left</wp:align>
          </wp:positionH>
          <wp:positionV relativeFrom="page">
            <wp:align>top</wp:align>
          </wp:positionV>
          <wp:extent cx="7772400" cy="105156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40A5"/>
    <w:multiLevelType w:val="hybridMultilevel"/>
    <w:tmpl w:val="D3C84288"/>
    <w:lvl w:ilvl="0" w:tplc="86BA08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5A50F3"/>
    <w:multiLevelType w:val="hybridMultilevel"/>
    <w:tmpl w:val="98A2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ED0FEB"/>
    <w:multiLevelType w:val="hybridMultilevel"/>
    <w:tmpl w:val="DFA2F7A6"/>
    <w:lvl w:ilvl="0" w:tplc="04090001">
      <w:start w:val="1"/>
      <w:numFmt w:val="bullet"/>
      <w:lvlText w:val=""/>
      <w:lvlJc w:val="left"/>
      <w:pPr>
        <w:ind w:left="720" w:hanging="360"/>
      </w:pPr>
      <w:rPr>
        <w:rFonts w:ascii="Symbol" w:hAnsi="Symbol" w:hint="default"/>
      </w:rPr>
    </w:lvl>
    <w:lvl w:ilvl="1" w:tplc="5840F3CC">
      <w:numFmt w:val="bullet"/>
      <w:lvlText w:val="•"/>
      <w:lvlJc w:val="left"/>
      <w:pPr>
        <w:ind w:left="1710" w:hanging="630"/>
      </w:pPr>
      <w:rPr>
        <w:rFonts w:ascii="Source Sans Pro" w:eastAsiaTheme="minorHAnsi" w:hAnsi="Source Sans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C678E7"/>
    <w:multiLevelType w:val="multilevel"/>
    <w:tmpl w:val="D4E0196A"/>
    <w:lvl w:ilvl="0">
      <w:start w:val="1"/>
      <w:numFmt w:val="decimal"/>
      <w:pStyle w:val="Heading1"/>
      <w:suff w:val="space"/>
      <w:lvlText w:val="Chapter %1:"/>
      <w:lvlJc w:val="left"/>
      <w:pPr>
        <w:ind w:left="432" w:hanging="432"/>
      </w:pPr>
      <w:rPr>
        <w:rFonts w:hint="default"/>
        <w:color w:val="0F75BC" w:themeColor="accent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568920A9"/>
    <w:multiLevelType w:val="hybridMultilevel"/>
    <w:tmpl w:val="6C5CA5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A2"/>
    <w:rsid w:val="00016266"/>
    <w:rsid w:val="00023A6A"/>
    <w:rsid w:val="0002620B"/>
    <w:rsid w:val="000532D0"/>
    <w:rsid w:val="0005707E"/>
    <w:rsid w:val="00062055"/>
    <w:rsid w:val="000D2557"/>
    <w:rsid w:val="000D7D90"/>
    <w:rsid w:val="000F5F9D"/>
    <w:rsid w:val="00107B52"/>
    <w:rsid w:val="00182381"/>
    <w:rsid w:val="001A05BF"/>
    <w:rsid w:val="001C083C"/>
    <w:rsid w:val="002066EE"/>
    <w:rsid w:val="00221A78"/>
    <w:rsid w:val="00275227"/>
    <w:rsid w:val="002C1BD4"/>
    <w:rsid w:val="002F50DD"/>
    <w:rsid w:val="00326A13"/>
    <w:rsid w:val="003A04D7"/>
    <w:rsid w:val="003C0F5A"/>
    <w:rsid w:val="003C3CD1"/>
    <w:rsid w:val="003E74E0"/>
    <w:rsid w:val="00406FC1"/>
    <w:rsid w:val="0041486E"/>
    <w:rsid w:val="00425258"/>
    <w:rsid w:val="00433083"/>
    <w:rsid w:val="004523D2"/>
    <w:rsid w:val="004639E3"/>
    <w:rsid w:val="00487597"/>
    <w:rsid w:val="004904A2"/>
    <w:rsid w:val="004B4CB4"/>
    <w:rsid w:val="004C7761"/>
    <w:rsid w:val="004D03A4"/>
    <w:rsid w:val="004F3836"/>
    <w:rsid w:val="004F461A"/>
    <w:rsid w:val="005563B8"/>
    <w:rsid w:val="005801A4"/>
    <w:rsid w:val="00597616"/>
    <w:rsid w:val="005A08E5"/>
    <w:rsid w:val="005B2A56"/>
    <w:rsid w:val="005F0A3E"/>
    <w:rsid w:val="00653D00"/>
    <w:rsid w:val="006729C5"/>
    <w:rsid w:val="00675E8A"/>
    <w:rsid w:val="00685D99"/>
    <w:rsid w:val="006A7CE3"/>
    <w:rsid w:val="006E37A6"/>
    <w:rsid w:val="006F17DB"/>
    <w:rsid w:val="006F4094"/>
    <w:rsid w:val="007035AB"/>
    <w:rsid w:val="00723527"/>
    <w:rsid w:val="007252D0"/>
    <w:rsid w:val="00732037"/>
    <w:rsid w:val="00747FE4"/>
    <w:rsid w:val="00762FA8"/>
    <w:rsid w:val="00765359"/>
    <w:rsid w:val="0077098C"/>
    <w:rsid w:val="0077130A"/>
    <w:rsid w:val="007E2DD5"/>
    <w:rsid w:val="007F19F2"/>
    <w:rsid w:val="007F2040"/>
    <w:rsid w:val="00800BB5"/>
    <w:rsid w:val="008111B5"/>
    <w:rsid w:val="00814CAE"/>
    <w:rsid w:val="00872233"/>
    <w:rsid w:val="008A02D1"/>
    <w:rsid w:val="008B44E0"/>
    <w:rsid w:val="008C7E69"/>
    <w:rsid w:val="008D42F5"/>
    <w:rsid w:val="008F238D"/>
    <w:rsid w:val="008F524E"/>
    <w:rsid w:val="009362E1"/>
    <w:rsid w:val="00942AE7"/>
    <w:rsid w:val="00960837"/>
    <w:rsid w:val="009B01DF"/>
    <w:rsid w:val="009B4125"/>
    <w:rsid w:val="009C3D78"/>
    <w:rsid w:val="009D144A"/>
    <w:rsid w:val="009E3816"/>
    <w:rsid w:val="009F0710"/>
    <w:rsid w:val="009F665C"/>
    <w:rsid w:val="00A26090"/>
    <w:rsid w:val="00A306B3"/>
    <w:rsid w:val="00A50850"/>
    <w:rsid w:val="00A763E9"/>
    <w:rsid w:val="00AB2079"/>
    <w:rsid w:val="00AB647F"/>
    <w:rsid w:val="00AC0DC2"/>
    <w:rsid w:val="00AE0039"/>
    <w:rsid w:val="00AF46CA"/>
    <w:rsid w:val="00B06D91"/>
    <w:rsid w:val="00B11C0B"/>
    <w:rsid w:val="00B235E0"/>
    <w:rsid w:val="00B3135B"/>
    <w:rsid w:val="00B51B54"/>
    <w:rsid w:val="00B6103B"/>
    <w:rsid w:val="00BA43C3"/>
    <w:rsid w:val="00BB0CE3"/>
    <w:rsid w:val="00BD2014"/>
    <w:rsid w:val="00BD3472"/>
    <w:rsid w:val="00BF20FD"/>
    <w:rsid w:val="00C00510"/>
    <w:rsid w:val="00C073B5"/>
    <w:rsid w:val="00C12991"/>
    <w:rsid w:val="00C446EE"/>
    <w:rsid w:val="00C576BD"/>
    <w:rsid w:val="00CA6F3D"/>
    <w:rsid w:val="00CB3692"/>
    <w:rsid w:val="00CD6EB7"/>
    <w:rsid w:val="00CE2EBA"/>
    <w:rsid w:val="00D445C6"/>
    <w:rsid w:val="00D80FB5"/>
    <w:rsid w:val="00DA762D"/>
    <w:rsid w:val="00DB37A1"/>
    <w:rsid w:val="00DC0AB2"/>
    <w:rsid w:val="00DE1EE8"/>
    <w:rsid w:val="00DE6CF8"/>
    <w:rsid w:val="00DF14E1"/>
    <w:rsid w:val="00E02355"/>
    <w:rsid w:val="00E22041"/>
    <w:rsid w:val="00E2610E"/>
    <w:rsid w:val="00E3434E"/>
    <w:rsid w:val="00E427AF"/>
    <w:rsid w:val="00E45D5E"/>
    <w:rsid w:val="00E60338"/>
    <w:rsid w:val="00E871EC"/>
    <w:rsid w:val="00EF372E"/>
    <w:rsid w:val="00EF6164"/>
    <w:rsid w:val="00F050C6"/>
    <w:rsid w:val="00F16CBA"/>
    <w:rsid w:val="00F46BD6"/>
    <w:rsid w:val="00F64333"/>
    <w:rsid w:val="00F804E4"/>
    <w:rsid w:val="00F857FA"/>
    <w:rsid w:val="00FC0FF0"/>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2962BAB"/>
  <w15:chartTrackingRefBased/>
  <w15:docId w15:val="{C6E32492-70EE-46C3-8D28-ABB25F533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B01DF"/>
    <w:pPr>
      <w:keepNext/>
      <w:keepLines/>
      <w:numPr>
        <w:numId w:val="1"/>
      </w:numPr>
      <w:spacing w:before="240" w:after="0"/>
      <w:outlineLvl w:val="0"/>
    </w:pPr>
    <w:rPr>
      <w:rFonts w:asciiTheme="majorHAnsi" w:eastAsiaTheme="majorEastAsia" w:hAnsiTheme="majorHAnsi" w:cstheme="majorBidi"/>
      <w:color w:val="0F75BC" w:themeColor="accent2"/>
      <w:sz w:val="84"/>
      <w:szCs w:val="32"/>
    </w:rPr>
  </w:style>
  <w:style w:type="paragraph" w:styleId="Heading2">
    <w:name w:val="heading 2"/>
    <w:basedOn w:val="Normal"/>
    <w:next w:val="Normal"/>
    <w:link w:val="Heading2Char"/>
    <w:unhideWhenUsed/>
    <w:qFormat/>
    <w:rsid w:val="00CA6F3D"/>
    <w:pPr>
      <w:keepNext/>
      <w:keepLines/>
      <w:numPr>
        <w:ilvl w:val="1"/>
        <w:numId w:val="1"/>
      </w:numPr>
      <w:spacing w:before="40" w:after="240"/>
      <w:outlineLvl w:val="1"/>
    </w:pPr>
    <w:rPr>
      <w:rFonts w:asciiTheme="majorHAnsi" w:eastAsiaTheme="majorEastAsia" w:hAnsiTheme="majorHAnsi" w:cstheme="majorBidi"/>
      <w:b/>
      <w:color w:val="0E5E67"/>
      <w:sz w:val="32"/>
      <w:szCs w:val="32"/>
    </w:rPr>
  </w:style>
  <w:style w:type="paragraph" w:styleId="Heading3">
    <w:name w:val="heading 3"/>
    <w:basedOn w:val="Normal"/>
    <w:next w:val="Normal"/>
    <w:link w:val="Heading3Char"/>
    <w:unhideWhenUsed/>
    <w:qFormat/>
    <w:rsid w:val="00DC0AB2"/>
    <w:pPr>
      <w:keepNext/>
      <w:keepLines/>
      <w:numPr>
        <w:ilvl w:val="2"/>
        <w:numId w:val="1"/>
      </w:numPr>
      <w:spacing w:before="40" w:after="0"/>
      <w:outlineLvl w:val="2"/>
    </w:pPr>
    <w:rPr>
      <w:rFonts w:asciiTheme="majorHAnsi" w:eastAsiaTheme="majorEastAsia" w:hAnsiTheme="majorHAnsi" w:cstheme="majorBidi"/>
      <w:color w:val="46641E"/>
      <w:sz w:val="24"/>
      <w:szCs w:val="24"/>
    </w:rPr>
  </w:style>
  <w:style w:type="paragraph" w:styleId="Heading4">
    <w:name w:val="heading 4"/>
    <w:aliases w:val="Tables and Figures"/>
    <w:basedOn w:val="Normal"/>
    <w:next w:val="Normal"/>
    <w:link w:val="Heading4Char"/>
    <w:unhideWhenUsed/>
    <w:qFormat/>
    <w:rsid w:val="00EF6164"/>
    <w:pPr>
      <w:keepNext/>
      <w:keepLines/>
      <w:numPr>
        <w:ilvl w:val="3"/>
        <w:numId w:val="1"/>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unhideWhenUsed/>
    <w:qFormat/>
    <w:rsid w:val="00EF6164"/>
    <w:pPr>
      <w:keepNext/>
      <w:keepLines/>
      <w:numPr>
        <w:ilvl w:val="4"/>
        <w:numId w:val="1"/>
      </w:numPr>
      <w:spacing w:before="40" w:after="0"/>
      <w:outlineLvl w:val="4"/>
    </w:pPr>
    <w:rPr>
      <w:rFonts w:asciiTheme="majorHAnsi" w:eastAsiaTheme="majorEastAsia" w:hAnsiTheme="majorHAnsi" w:cstheme="majorBidi"/>
      <w:color w:val="68962C" w:themeColor="accent1" w:themeShade="BF"/>
    </w:rPr>
  </w:style>
  <w:style w:type="paragraph" w:styleId="Heading6">
    <w:name w:val="heading 6"/>
    <w:basedOn w:val="Normal"/>
    <w:next w:val="Normal"/>
    <w:link w:val="Heading6Char"/>
    <w:uiPriority w:val="9"/>
    <w:semiHidden/>
    <w:unhideWhenUsed/>
    <w:qFormat/>
    <w:rsid w:val="00EF6164"/>
    <w:pPr>
      <w:keepNext/>
      <w:keepLines/>
      <w:numPr>
        <w:ilvl w:val="5"/>
        <w:numId w:val="1"/>
      </w:numPr>
      <w:spacing w:before="40" w:after="0"/>
      <w:outlineLvl w:val="5"/>
    </w:pPr>
    <w:rPr>
      <w:rFonts w:asciiTheme="majorHAnsi" w:eastAsiaTheme="majorEastAsia" w:hAnsiTheme="majorHAnsi" w:cstheme="majorBidi"/>
      <w:color w:val="45631D" w:themeColor="accent1" w:themeShade="7F"/>
    </w:rPr>
  </w:style>
  <w:style w:type="paragraph" w:styleId="Heading7">
    <w:name w:val="heading 7"/>
    <w:basedOn w:val="Normal"/>
    <w:next w:val="Normal"/>
    <w:link w:val="Heading7Char"/>
    <w:uiPriority w:val="9"/>
    <w:semiHidden/>
    <w:unhideWhenUsed/>
    <w:qFormat/>
    <w:rsid w:val="00EF6164"/>
    <w:pPr>
      <w:keepNext/>
      <w:keepLines/>
      <w:numPr>
        <w:ilvl w:val="6"/>
        <w:numId w:val="1"/>
      </w:numPr>
      <w:spacing w:before="40" w:after="0"/>
      <w:outlineLvl w:val="6"/>
    </w:pPr>
    <w:rPr>
      <w:rFonts w:asciiTheme="majorHAnsi" w:eastAsiaTheme="majorEastAsia" w:hAnsiTheme="majorHAnsi" w:cstheme="majorBidi"/>
      <w:i/>
      <w:iCs/>
      <w:color w:val="45631D" w:themeColor="accent1" w:themeShade="7F"/>
    </w:rPr>
  </w:style>
  <w:style w:type="paragraph" w:styleId="Heading8">
    <w:name w:val="heading 8"/>
    <w:basedOn w:val="Normal"/>
    <w:next w:val="Normal"/>
    <w:link w:val="Heading8Char"/>
    <w:uiPriority w:val="9"/>
    <w:semiHidden/>
    <w:unhideWhenUsed/>
    <w:qFormat/>
    <w:rsid w:val="00EF616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F616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2">
    <w:name w:val="List Table 4 Accent 2"/>
    <w:basedOn w:val="TableNormal"/>
    <w:uiPriority w:val="49"/>
    <w:rsid w:val="00F16CBA"/>
    <w:pPr>
      <w:spacing w:after="0" w:line="240" w:lineRule="auto"/>
      <w:jc w:val="center"/>
    </w:pPr>
    <w:tblPr>
      <w:tblStyleRowBandSize w:val="1"/>
      <w:tblStyleColBandSize w:val="1"/>
      <w:tblBorders>
        <w:top w:val="single" w:sz="4" w:space="0" w:color="54B0F1" w:themeColor="accent2" w:themeTint="99"/>
        <w:left w:val="single" w:sz="4" w:space="0" w:color="54B0F1" w:themeColor="accent2" w:themeTint="99"/>
        <w:bottom w:val="single" w:sz="4" w:space="0" w:color="54B0F1" w:themeColor="accent2" w:themeTint="99"/>
        <w:right w:val="single" w:sz="4" w:space="0" w:color="54B0F1" w:themeColor="accent2" w:themeTint="99"/>
        <w:insideH w:val="single" w:sz="4" w:space="0" w:color="54B0F1" w:themeColor="accent2" w:themeTint="99"/>
      </w:tblBorders>
    </w:tblPr>
    <w:tcPr>
      <w:vAlign w:val="center"/>
    </w:tcPr>
    <w:tblStylePr w:type="firstRow">
      <w:rPr>
        <w:b/>
        <w:bCs/>
        <w:color w:val="FFFFFF" w:themeColor="background1"/>
      </w:rPr>
      <w:tblPr/>
      <w:tcPr>
        <w:tcBorders>
          <w:top w:val="single" w:sz="4" w:space="0" w:color="0F75BC" w:themeColor="accent2"/>
          <w:left w:val="single" w:sz="4" w:space="0" w:color="0F75BC" w:themeColor="accent2"/>
          <w:bottom w:val="single" w:sz="4" w:space="0" w:color="0F75BC" w:themeColor="accent2"/>
          <w:right w:val="single" w:sz="4" w:space="0" w:color="0F75BC" w:themeColor="accent2"/>
          <w:insideH w:val="nil"/>
        </w:tcBorders>
        <w:shd w:val="clear" w:color="auto" w:fill="0F75BC" w:themeFill="accent2"/>
      </w:tcPr>
    </w:tblStylePr>
    <w:tblStylePr w:type="lastRow">
      <w:rPr>
        <w:b w:val="0"/>
        <w:bCs/>
      </w:rPr>
      <w:tblPr/>
      <w:tcPr>
        <w:tcBorders>
          <w:top w:val="double" w:sz="4" w:space="0" w:color="54B0F1" w:themeColor="accent2" w:themeTint="99"/>
        </w:tcBorders>
      </w:tcPr>
    </w:tblStylePr>
    <w:tblStylePr w:type="firstCol">
      <w:pPr>
        <w:jc w:val="center"/>
      </w:pPr>
      <w:rPr>
        <w:b w:val="0"/>
        <w:bCs/>
      </w:rPr>
    </w:tblStylePr>
    <w:tblStylePr w:type="lastCol">
      <w:rPr>
        <w:b w:val="0"/>
        <w:bCs/>
      </w:rPr>
    </w:tblStylePr>
    <w:tblStylePr w:type="band1Vert">
      <w:tblPr/>
      <w:tcPr>
        <w:shd w:val="clear" w:color="auto" w:fill="C5E4FA" w:themeFill="accent2" w:themeFillTint="33"/>
      </w:tcPr>
    </w:tblStylePr>
    <w:tblStylePr w:type="band1Horz">
      <w:tblPr/>
      <w:tcPr>
        <w:shd w:val="clear" w:color="auto" w:fill="C5E4FA" w:themeFill="accent2" w:themeFillTint="33"/>
      </w:tcPr>
    </w:tblStylePr>
  </w:style>
  <w:style w:type="table" w:styleId="ListTable4-Accent3">
    <w:name w:val="List Table 4 Accent 3"/>
    <w:basedOn w:val="TableNormal"/>
    <w:uiPriority w:val="49"/>
    <w:rsid w:val="00EF6164"/>
    <w:pPr>
      <w:spacing w:after="0" w:line="240" w:lineRule="auto"/>
      <w:jc w:val="center"/>
    </w:pPr>
    <w:rPr>
      <w:sz w:val="24"/>
      <w:szCs w:val="24"/>
    </w:rPr>
    <w:tblPr>
      <w:tblStyleRowBandSize w:val="1"/>
      <w:tblStyleColBandSize w:val="1"/>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tblBorders>
    </w:tblPr>
    <w:tcPr>
      <w:vAlign w:val="center"/>
    </w:tc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tcBorders>
        <w:shd w:val="clear" w:color="auto" w:fill="1DBECF" w:themeFill="accent3"/>
      </w:tcPr>
    </w:tblStylePr>
    <w:tblStylePr w:type="lastRow">
      <w:rPr>
        <w:b w:val="0"/>
        <w:bCs/>
      </w:rPr>
      <w:tblPr/>
      <w:tcPr>
        <w:tcBorders>
          <w:top w:val="double" w:sz="4" w:space="0" w:color="6EDEEA" w:themeColor="accent3" w:themeTint="99"/>
        </w:tcBorders>
      </w:tcPr>
    </w:tblStylePr>
    <w:tblStylePr w:type="firstCol">
      <w:rPr>
        <w:b w:val="0"/>
        <w:bCs/>
      </w:rPr>
    </w:tblStylePr>
    <w:tblStylePr w:type="lastCol">
      <w:rPr>
        <w:b w:val="0"/>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paragraph" w:styleId="NoSpacing">
    <w:name w:val="No Spacing"/>
    <w:link w:val="NoSpacingChar"/>
    <w:uiPriority w:val="1"/>
    <w:qFormat/>
    <w:rsid w:val="00EF6164"/>
    <w:pPr>
      <w:spacing w:after="0" w:line="240" w:lineRule="auto"/>
    </w:pPr>
    <w:rPr>
      <w:rFonts w:eastAsiaTheme="minorEastAsia"/>
    </w:rPr>
  </w:style>
  <w:style w:type="character" w:customStyle="1" w:styleId="NoSpacingChar">
    <w:name w:val="No Spacing Char"/>
    <w:basedOn w:val="DefaultParagraphFont"/>
    <w:link w:val="NoSpacing"/>
    <w:uiPriority w:val="1"/>
    <w:rsid w:val="00EF6164"/>
    <w:rPr>
      <w:rFonts w:eastAsiaTheme="minorEastAsia"/>
    </w:rPr>
  </w:style>
  <w:style w:type="paragraph" w:styleId="Header">
    <w:name w:val="header"/>
    <w:basedOn w:val="Normal"/>
    <w:link w:val="HeaderChar"/>
    <w:uiPriority w:val="99"/>
    <w:unhideWhenUsed/>
    <w:rsid w:val="00EF6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164"/>
  </w:style>
  <w:style w:type="paragraph" w:styleId="Footer">
    <w:name w:val="footer"/>
    <w:basedOn w:val="Normal"/>
    <w:link w:val="FooterChar"/>
    <w:uiPriority w:val="99"/>
    <w:unhideWhenUsed/>
    <w:rsid w:val="00EF6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164"/>
  </w:style>
  <w:style w:type="character" w:customStyle="1" w:styleId="Heading1Char">
    <w:name w:val="Heading 1 Char"/>
    <w:basedOn w:val="DefaultParagraphFont"/>
    <w:link w:val="Heading1"/>
    <w:rsid w:val="009B01DF"/>
    <w:rPr>
      <w:rFonts w:asciiTheme="majorHAnsi" w:eastAsiaTheme="majorEastAsia" w:hAnsiTheme="majorHAnsi" w:cstheme="majorBidi"/>
      <w:color w:val="0F75BC" w:themeColor="accent2"/>
      <w:sz w:val="84"/>
      <w:szCs w:val="32"/>
    </w:rPr>
  </w:style>
  <w:style w:type="character" w:customStyle="1" w:styleId="Heading2Char">
    <w:name w:val="Heading 2 Char"/>
    <w:basedOn w:val="DefaultParagraphFont"/>
    <w:link w:val="Heading2"/>
    <w:rsid w:val="00CA6F3D"/>
    <w:rPr>
      <w:rFonts w:asciiTheme="majorHAnsi" w:eastAsiaTheme="majorEastAsia" w:hAnsiTheme="majorHAnsi" w:cstheme="majorBidi"/>
      <w:b/>
      <w:color w:val="0E5E67"/>
      <w:sz w:val="32"/>
      <w:szCs w:val="32"/>
    </w:rPr>
  </w:style>
  <w:style w:type="character" w:customStyle="1" w:styleId="Heading3Char">
    <w:name w:val="Heading 3 Char"/>
    <w:basedOn w:val="DefaultParagraphFont"/>
    <w:link w:val="Heading3"/>
    <w:rsid w:val="00DC0AB2"/>
    <w:rPr>
      <w:rFonts w:asciiTheme="majorHAnsi" w:eastAsiaTheme="majorEastAsia" w:hAnsiTheme="majorHAnsi" w:cstheme="majorBidi"/>
      <w:color w:val="46641E"/>
      <w:sz w:val="24"/>
      <w:szCs w:val="24"/>
    </w:rPr>
  </w:style>
  <w:style w:type="character" w:customStyle="1" w:styleId="Heading4Char">
    <w:name w:val="Heading 4 Char"/>
    <w:aliases w:val="Tables and Figures Char"/>
    <w:basedOn w:val="DefaultParagraphFont"/>
    <w:link w:val="Heading4"/>
    <w:uiPriority w:val="9"/>
    <w:rsid w:val="00EF6164"/>
    <w:rPr>
      <w:rFonts w:asciiTheme="majorHAnsi" w:eastAsiaTheme="majorEastAsia" w:hAnsiTheme="majorHAnsi" w:cstheme="majorBidi"/>
      <w:i/>
      <w:iCs/>
      <w:color w:val="000000" w:themeColor="text1"/>
    </w:rPr>
  </w:style>
  <w:style w:type="character" w:customStyle="1" w:styleId="Heading5Char">
    <w:name w:val="Heading 5 Char"/>
    <w:basedOn w:val="DefaultParagraphFont"/>
    <w:link w:val="Heading5"/>
    <w:uiPriority w:val="9"/>
    <w:semiHidden/>
    <w:rsid w:val="00EF6164"/>
    <w:rPr>
      <w:rFonts w:asciiTheme="majorHAnsi" w:eastAsiaTheme="majorEastAsia" w:hAnsiTheme="majorHAnsi" w:cstheme="majorBidi"/>
      <w:color w:val="68962C" w:themeColor="accent1" w:themeShade="BF"/>
    </w:rPr>
  </w:style>
  <w:style w:type="character" w:customStyle="1" w:styleId="Heading6Char">
    <w:name w:val="Heading 6 Char"/>
    <w:basedOn w:val="DefaultParagraphFont"/>
    <w:link w:val="Heading6"/>
    <w:uiPriority w:val="9"/>
    <w:semiHidden/>
    <w:rsid w:val="00EF6164"/>
    <w:rPr>
      <w:rFonts w:asciiTheme="majorHAnsi" w:eastAsiaTheme="majorEastAsia" w:hAnsiTheme="majorHAnsi" w:cstheme="majorBidi"/>
      <w:color w:val="45631D" w:themeColor="accent1" w:themeShade="7F"/>
    </w:rPr>
  </w:style>
  <w:style w:type="character" w:customStyle="1" w:styleId="Heading7Char">
    <w:name w:val="Heading 7 Char"/>
    <w:basedOn w:val="DefaultParagraphFont"/>
    <w:link w:val="Heading7"/>
    <w:uiPriority w:val="9"/>
    <w:semiHidden/>
    <w:rsid w:val="00EF6164"/>
    <w:rPr>
      <w:rFonts w:asciiTheme="majorHAnsi" w:eastAsiaTheme="majorEastAsia" w:hAnsiTheme="majorHAnsi" w:cstheme="majorBidi"/>
      <w:i/>
      <w:iCs/>
      <w:color w:val="45631D" w:themeColor="accent1" w:themeShade="7F"/>
    </w:rPr>
  </w:style>
  <w:style w:type="character" w:customStyle="1" w:styleId="Heading8Char">
    <w:name w:val="Heading 8 Char"/>
    <w:basedOn w:val="DefaultParagraphFont"/>
    <w:link w:val="Heading8"/>
    <w:uiPriority w:val="9"/>
    <w:semiHidden/>
    <w:rsid w:val="00EF61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16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EF6164"/>
    <w:pPr>
      <w:spacing w:after="200" w:line="240" w:lineRule="auto"/>
      <w:jc w:val="center"/>
    </w:pPr>
    <w:rPr>
      <w:b/>
      <w:i/>
      <w:iCs/>
      <w:color w:val="000000" w:themeColor="text1"/>
      <w:sz w:val="18"/>
      <w:szCs w:val="18"/>
    </w:rPr>
  </w:style>
  <w:style w:type="paragraph" w:styleId="BalloonText">
    <w:name w:val="Balloon Text"/>
    <w:basedOn w:val="Normal"/>
    <w:link w:val="BalloonTextChar"/>
    <w:uiPriority w:val="99"/>
    <w:semiHidden/>
    <w:unhideWhenUsed/>
    <w:rsid w:val="00490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4A2"/>
    <w:rPr>
      <w:rFonts w:ascii="Segoe UI" w:hAnsi="Segoe UI" w:cs="Segoe UI"/>
      <w:sz w:val="18"/>
      <w:szCs w:val="18"/>
    </w:rPr>
  </w:style>
  <w:style w:type="paragraph" w:styleId="TOC1">
    <w:name w:val="toc 1"/>
    <w:basedOn w:val="Normal"/>
    <w:next w:val="Normal"/>
    <w:autoRedefine/>
    <w:uiPriority w:val="39"/>
    <w:unhideWhenUsed/>
    <w:rsid w:val="004904A2"/>
    <w:pPr>
      <w:tabs>
        <w:tab w:val="left" w:pos="1620"/>
        <w:tab w:val="right" w:leader="dot" w:pos="9350"/>
      </w:tabs>
      <w:spacing w:after="100"/>
    </w:pPr>
    <w:rPr>
      <w:b/>
      <w:color w:val="0F75BC" w:themeColor="accent2"/>
      <w:sz w:val="32"/>
    </w:rPr>
  </w:style>
  <w:style w:type="paragraph" w:styleId="TOC2">
    <w:name w:val="toc 2"/>
    <w:basedOn w:val="Normal"/>
    <w:next w:val="Normal"/>
    <w:autoRedefine/>
    <w:uiPriority w:val="39"/>
    <w:unhideWhenUsed/>
    <w:rsid w:val="004904A2"/>
    <w:pPr>
      <w:spacing w:after="100"/>
      <w:ind w:left="220"/>
    </w:pPr>
    <w:rPr>
      <w:color w:val="46641E" w:themeColor="accent1" w:themeShade="80"/>
      <w:sz w:val="24"/>
    </w:rPr>
  </w:style>
  <w:style w:type="character" w:styleId="Hyperlink">
    <w:name w:val="Hyperlink"/>
    <w:basedOn w:val="DefaultParagraphFont"/>
    <w:uiPriority w:val="99"/>
    <w:unhideWhenUsed/>
    <w:rsid w:val="004904A2"/>
    <w:rPr>
      <w:color w:val="0563C1" w:themeColor="hyperlink"/>
      <w:u w:val="single"/>
    </w:rPr>
  </w:style>
  <w:style w:type="paragraph" w:styleId="CommentText">
    <w:name w:val="annotation text"/>
    <w:basedOn w:val="Normal"/>
    <w:link w:val="CommentTextChar"/>
    <w:uiPriority w:val="99"/>
    <w:unhideWhenUsed/>
    <w:rsid w:val="004904A2"/>
    <w:pPr>
      <w:spacing w:line="240" w:lineRule="auto"/>
    </w:pPr>
    <w:rPr>
      <w:sz w:val="20"/>
      <w:szCs w:val="20"/>
    </w:rPr>
  </w:style>
  <w:style w:type="character" w:customStyle="1" w:styleId="CommentTextChar">
    <w:name w:val="Comment Text Char"/>
    <w:basedOn w:val="DefaultParagraphFont"/>
    <w:link w:val="CommentText"/>
    <w:uiPriority w:val="99"/>
    <w:rsid w:val="004904A2"/>
    <w:rPr>
      <w:sz w:val="20"/>
      <w:szCs w:val="20"/>
    </w:rPr>
  </w:style>
  <w:style w:type="character" w:styleId="CommentReference">
    <w:name w:val="annotation reference"/>
    <w:basedOn w:val="DefaultParagraphFont"/>
    <w:uiPriority w:val="99"/>
    <w:semiHidden/>
    <w:unhideWhenUsed/>
    <w:rsid w:val="004904A2"/>
    <w:rPr>
      <w:sz w:val="16"/>
      <w:szCs w:val="16"/>
    </w:rPr>
  </w:style>
  <w:style w:type="paragraph" w:styleId="TableofFigures">
    <w:name w:val="table of figures"/>
    <w:basedOn w:val="Normal"/>
    <w:next w:val="Normal"/>
    <w:uiPriority w:val="99"/>
    <w:unhideWhenUsed/>
    <w:rsid w:val="004904A2"/>
    <w:pPr>
      <w:spacing w:after="0"/>
    </w:pPr>
  </w:style>
  <w:style w:type="paragraph" w:styleId="TOCHeading">
    <w:name w:val="TOC Heading"/>
    <w:basedOn w:val="Heading1"/>
    <w:next w:val="Normal"/>
    <w:uiPriority w:val="39"/>
    <w:unhideWhenUsed/>
    <w:qFormat/>
    <w:rsid w:val="00DC0AB2"/>
    <w:pPr>
      <w:numPr>
        <w:numId w:val="0"/>
      </w:numPr>
      <w:outlineLvl w:val="9"/>
    </w:pPr>
    <w:rPr>
      <w:color w:val="68962C" w:themeColor="accent1" w:themeShade="BF"/>
    </w:rPr>
  </w:style>
  <w:style w:type="paragraph" w:styleId="ListParagraph">
    <w:name w:val="List Paragraph"/>
    <w:basedOn w:val="Normal"/>
    <w:link w:val="ListParagraphChar"/>
    <w:uiPriority w:val="34"/>
    <w:qFormat/>
    <w:rsid w:val="00DC0AB2"/>
    <w:pPr>
      <w:ind w:left="720"/>
      <w:contextualSpacing/>
    </w:pPr>
  </w:style>
  <w:style w:type="table" w:styleId="TableGrid">
    <w:name w:val="Table Grid"/>
    <w:basedOn w:val="TableNormal"/>
    <w:rsid w:val="00DC0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C0AB2"/>
  </w:style>
  <w:style w:type="table" w:styleId="GridTable4-Accent5">
    <w:name w:val="Grid Table 4 Accent 5"/>
    <w:basedOn w:val="TableNormal"/>
    <w:uiPriority w:val="49"/>
    <w:rsid w:val="00DC0AB2"/>
    <w:pPr>
      <w:spacing w:after="0" w:line="240" w:lineRule="auto"/>
    </w:pPr>
    <w:tblPr>
      <w:tblStyleRowBandSize w:val="1"/>
      <w:tblStyleColBandSize w:val="1"/>
      <w:tblBorders>
        <w:top w:val="single" w:sz="4" w:space="0" w:color="FDBC79" w:themeColor="accent5" w:themeTint="99"/>
        <w:left w:val="single" w:sz="4" w:space="0" w:color="FDBC79" w:themeColor="accent5" w:themeTint="99"/>
        <w:bottom w:val="single" w:sz="4" w:space="0" w:color="FDBC79" w:themeColor="accent5" w:themeTint="99"/>
        <w:right w:val="single" w:sz="4" w:space="0" w:color="FDBC79" w:themeColor="accent5" w:themeTint="99"/>
        <w:insideH w:val="single" w:sz="4" w:space="0" w:color="FDBC79" w:themeColor="accent5" w:themeTint="99"/>
        <w:insideV w:val="single" w:sz="4" w:space="0" w:color="FDBC79" w:themeColor="accent5" w:themeTint="99"/>
      </w:tblBorders>
    </w:tblPr>
    <w:tblStylePr w:type="firstRow">
      <w:rPr>
        <w:b/>
        <w:bCs/>
        <w:color w:val="FFFFFF" w:themeColor="background1"/>
      </w:rPr>
      <w:tblPr/>
      <w:tcPr>
        <w:tcBorders>
          <w:top w:val="single" w:sz="4" w:space="0" w:color="FD9120" w:themeColor="accent5"/>
          <w:left w:val="single" w:sz="4" w:space="0" w:color="FD9120" w:themeColor="accent5"/>
          <w:bottom w:val="single" w:sz="4" w:space="0" w:color="FD9120" w:themeColor="accent5"/>
          <w:right w:val="single" w:sz="4" w:space="0" w:color="FD9120" w:themeColor="accent5"/>
          <w:insideH w:val="nil"/>
          <w:insideV w:val="nil"/>
        </w:tcBorders>
        <w:shd w:val="clear" w:color="auto" w:fill="FD9120" w:themeFill="accent5"/>
      </w:tcPr>
    </w:tblStylePr>
    <w:tblStylePr w:type="lastRow">
      <w:rPr>
        <w:b/>
        <w:bCs/>
      </w:rPr>
      <w:tblPr/>
      <w:tcPr>
        <w:tcBorders>
          <w:top w:val="double" w:sz="4" w:space="0" w:color="FD9120" w:themeColor="accent5"/>
        </w:tcBorders>
      </w:tcPr>
    </w:tblStylePr>
    <w:tblStylePr w:type="firstCol">
      <w:rPr>
        <w:b/>
        <w:bCs/>
      </w:rPr>
    </w:tblStylePr>
    <w:tblStylePr w:type="lastCol">
      <w:rPr>
        <w:b/>
        <w:bCs/>
      </w:rPr>
    </w:tblStylePr>
    <w:tblStylePr w:type="band1Vert">
      <w:tblPr/>
      <w:tcPr>
        <w:shd w:val="clear" w:color="auto" w:fill="FEE8D2" w:themeFill="accent5" w:themeFillTint="33"/>
      </w:tcPr>
    </w:tblStylePr>
    <w:tblStylePr w:type="band1Horz">
      <w:tblPr/>
      <w:tcPr>
        <w:shd w:val="clear" w:color="auto" w:fill="FEE8D2" w:themeFill="accent5" w:themeFillTint="33"/>
      </w:tcPr>
    </w:tblStylePr>
  </w:style>
  <w:style w:type="paragraph" w:styleId="TOC3">
    <w:name w:val="toc 3"/>
    <w:basedOn w:val="Normal"/>
    <w:next w:val="Normal"/>
    <w:autoRedefine/>
    <w:uiPriority w:val="39"/>
    <w:unhideWhenUsed/>
    <w:rsid w:val="00DC0AB2"/>
    <w:pPr>
      <w:spacing w:after="100"/>
      <w:ind w:left="440"/>
    </w:pPr>
  </w:style>
  <w:style w:type="paragraph" w:styleId="CommentSubject">
    <w:name w:val="annotation subject"/>
    <w:basedOn w:val="CommentText"/>
    <w:next w:val="CommentText"/>
    <w:link w:val="CommentSubjectChar"/>
    <w:uiPriority w:val="99"/>
    <w:semiHidden/>
    <w:unhideWhenUsed/>
    <w:rsid w:val="00AE0039"/>
    <w:rPr>
      <w:b/>
      <w:bCs/>
    </w:rPr>
  </w:style>
  <w:style w:type="character" w:customStyle="1" w:styleId="CommentSubjectChar">
    <w:name w:val="Comment Subject Char"/>
    <w:basedOn w:val="CommentTextChar"/>
    <w:link w:val="CommentSubject"/>
    <w:uiPriority w:val="99"/>
    <w:semiHidden/>
    <w:rsid w:val="00AE00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2045 Charlotte LRTP">
      <a:dk1>
        <a:sysClr val="windowText" lastClr="000000"/>
      </a:dk1>
      <a:lt1>
        <a:sysClr val="window" lastClr="FFFFFF"/>
      </a:lt1>
      <a:dk2>
        <a:srgbClr val="44546A"/>
      </a:dk2>
      <a:lt2>
        <a:srgbClr val="E7E6E6"/>
      </a:lt2>
      <a:accent1>
        <a:srgbClr val="8CC63F"/>
      </a:accent1>
      <a:accent2>
        <a:srgbClr val="0F75BC"/>
      </a:accent2>
      <a:accent3>
        <a:srgbClr val="1DBECF"/>
      </a:accent3>
      <a:accent4>
        <a:srgbClr val="FFDE16"/>
      </a:accent4>
      <a:accent5>
        <a:srgbClr val="FD9120"/>
      </a:accent5>
      <a:accent6>
        <a:srgbClr val="CBE3BB"/>
      </a:accent6>
      <a:hlink>
        <a:srgbClr val="0563C1"/>
      </a:hlink>
      <a:folHlink>
        <a:srgbClr val="954F72"/>
      </a:folHlink>
    </a:clrScheme>
    <a:fontScheme name="Tindale Oliver Style">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BF956-4F47-47DA-B70F-1FF393349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6</Pages>
  <Words>1285</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Miles</dc:creator>
  <cp:keywords/>
  <dc:description/>
  <cp:lastModifiedBy>Wally Blain</cp:lastModifiedBy>
  <cp:revision>14</cp:revision>
  <dcterms:created xsi:type="dcterms:W3CDTF">2020-11-13T02:05:00Z</dcterms:created>
  <dcterms:modified xsi:type="dcterms:W3CDTF">2020-12-15T20:58:00Z</dcterms:modified>
</cp:coreProperties>
</file>